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D6A3B" w14:textId="77777777" w:rsidR="0065751B" w:rsidRPr="009B5486" w:rsidRDefault="0065751B" w:rsidP="007E487D">
      <w:pPr>
        <w:spacing w:after="0" w:line="280" w:lineRule="exact"/>
        <w:jc w:val="both"/>
        <w:rPr>
          <w:rFonts w:ascii="Times New Roman" w:eastAsia="Times New Roman" w:hAnsi="Times New Roman" w:cs="Times New Roman"/>
          <w:b/>
          <w:sz w:val="26"/>
          <w:szCs w:val="26"/>
          <w:lang w:eastAsia="es-ES"/>
        </w:rPr>
      </w:pPr>
      <w:r w:rsidRPr="009B5486">
        <w:rPr>
          <w:rFonts w:ascii="Times New Roman" w:eastAsia="Times New Roman" w:hAnsi="Times New Roman" w:cs="Times New Roman"/>
          <w:b/>
          <w:sz w:val="26"/>
          <w:szCs w:val="26"/>
          <w:lang w:eastAsia="es-ES"/>
        </w:rPr>
        <w:t>CUADRO</w:t>
      </w:r>
      <w:r w:rsidR="009B5486" w:rsidRPr="009B5486">
        <w:rPr>
          <w:rFonts w:ascii="Times New Roman" w:eastAsia="Times New Roman" w:hAnsi="Times New Roman" w:cs="Times New Roman"/>
          <w:b/>
          <w:sz w:val="26"/>
          <w:szCs w:val="26"/>
          <w:lang w:eastAsia="es-ES"/>
        </w:rPr>
        <w:t xml:space="preserve"> INCIDENCIA IMPOSITIVA DEL VALOR DE REFERENCIA</w:t>
      </w:r>
    </w:p>
    <w:p w14:paraId="745109E9" w14:textId="77777777" w:rsidR="00882C78" w:rsidRDefault="0065751B" w:rsidP="007E487D">
      <w:pPr>
        <w:spacing w:after="0" w:line="280" w:lineRule="exact"/>
        <w:jc w:val="both"/>
        <w:rPr>
          <w:rFonts w:ascii="Times New Roman" w:eastAsia="Times New Roman" w:hAnsi="Times New Roman" w:cs="Times New Roman"/>
          <w:b/>
          <w:sz w:val="26"/>
          <w:szCs w:val="26"/>
          <w:lang w:eastAsia="es-ES"/>
        </w:rPr>
      </w:pPr>
      <w:r w:rsidRPr="009B5486">
        <w:rPr>
          <w:rFonts w:ascii="Times New Roman" w:eastAsia="Times New Roman" w:hAnsi="Times New Roman" w:cs="Times New Roman"/>
          <w:b/>
          <w:i/>
          <w:sz w:val="26"/>
          <w:szCs w:val="26"/>
          <w:lang w:eastAsia="es-ES"/>
        </w:rPr>
        <w:t>Vicente Martorell. Notario de Oviedo</w:t>
      </w:r>
      <w:r w:rsidR="007E487D">
        <w:rPr>
          <w:rFonts w:ascii="Times New Roman" w:eastAsia="Times New Roman" w:hAnsi="Times New Roman" w:cs="Times New Roman"/>
          <w:b/>
          <w:sz w:val="26"/>
          <w:szCs w:val="26"/>
          <w:lang w:eastAsia="es-ES"/>
        </w:rPr>
        <w:t>.</w:t>
      </w:r>
    </w:p>
    <w:p w14:paraId="63F61D7D" w14:textId="77777777" w:rsidR="00831A58" w:rsidRDefault="00831A58" w:rsidP="00831A58">
      <w:pPr>
        <w:spacing w:after="0" w:line="240" w:lineRule="exact"/>
        <w:jc w:val="both"/>
        <w:rPr>
          <w:rFonts w:ascii="Times New Roman" w:eastAsia="Times New Roman" w:hAnsi="Times New Roman" w:cs="Times New Roman"/>
          <w:b/>
          <w:sz w:val="26"/>
          <w:szCs w:val="26"/>
          <w:lang w:eastAsia="es-ES"/>
        </w:rPr>
      </w:pPr>
    </w:p>
    <w:p w14:paraId="73D62956" w14:textId="77777777" w:rsidR="00831812" w:rsidRDefault="00831812" w:rsidP="00831A58">
      <w:pPr>
        <w:spacing w:after="0" w:line="240" w:lineRule="exact"/>
        <w:jc w:val="both"/>
        <w:rPr>
          <w:rFonts w:ascii="Times New Roman" w:eastAsia="Times New Roman" w:hAnsi="Times New Roman" w:cs="Times New Roman"/>
          <w:b/>
          <w:sz w:val="26"/>
          <w:szCs w:val="26"/>
          <w:lang w:eastAsia="es-ES"/>
        </w:rPr>
      </w:pPr>
    </w:p>
    <w:p w14:paraId="79FCBBC7" w14:textId="77777777" w:rsidR="00831812" w:rsidRDefault="00831812" w:rsidP="00831A58">
      <w:pPr>
        <w:spacing w:after="0" w:line="240" w:lineRule="exact"/>
        <w:jc w:val="both"/>
        <w:rPr>
          <w:rFonts w:ascii="Times New Roman" w:eastAsia="Times New Roman" w:hAnsi="Times New Roman" w:cs="Times New Roman"/>
          <w:b/>
          <w:sz w:val="26"/>
          <w:szCs w:val="26"/>
          <w:lang w:eastAsia="es-ES"/>
        </w:rPr>
      </w:pPr>
    </w:p>
    <w:p w14:paraId="6FBCC517" w14:textId="77777777" w:rsidR="00882C78" w:rsidRDefault="00831812" w:rsidP="00831A58">
      <w:pPr>
        <w:spacing w:after="0" w:line="240" w:lineRule="exact"/>
        <w:jc w:val="both"/>
      </w:pPr>
      <w:r>
        <w:t>N</w:t>
      </w:r>
      <w:r w:rsidRPr="00F245E5">
        <w:rPr>
          <w:sz w:val="20"/>
          <w:szCs w:val="20"/>
        </w:rPr>
        <w:t>OTA</w:t>
      </w:r>
      <w:r>
        <w:t xml:space="preserve">.- </w:t>
      </w:r>
      <w:r w:rsidRPr="00B23577">
        <w:t xml:space="preserve">Estos cuadros van actualizándose en </w:t>
      </w:r>
      <w:hyperlink r:id="rId8" w:history="1">
        <w:r w:rsidRPr="00B23577">
          <w:rPr>
            <w:rStyle w:val="Hipervnculo"/>
          </w:rPr>
          <w:t>www.oviedonotaria.com</w:t>
        </w:r>
      </w:hyperlink>
    </w:p>
    <w:p w14:paraId="37E1F0AD" w14:textId="77777777" w:rsidR="00831812" w:rsidRDefault="00831812" w:rsidP="00831A58">
      <w:pPr>
        <w:spacing w:after="0" w:line="240" w:lineRule="exact"/>
        <w:jc w:val="both"/>
      </w:pPr>
    </w:p>
    <w:p w14:paraId="71DAF749" w14:textId="77777777" w:rsidR="00831812" w:rsidRDefault="00831812" w:rsidP="00831A58">
      <w:pPr>
        <w:spacing w:after="0" w:line="240" w:lineRule="exact"/>
        <w:jc w:val="both"/>
      </w:pPr>
    </w:p>
    <w:p w14:paraId="784D8E92" w14:textId="77777777" w:rsidR="00831812" w:rsidRDefault="00831812" w:rsidP="00831A58">
      <w:pPr>
        <w:spacing w:after="0" w:line="240" w:lineRule="exact"/>
        <w:jc w:val="both"/>
        <w:rPr>
          <w:rFonts w:ascii="Times New Roman" w:eastAsia="Times New Roman" w:hAnsi="Times New Roman" w:cs="Times New Roman"/>
          <w:b/>
          <w:sz w:val="26"/>
          <w:szCs w:val="26"/>
          <w:lang w:eastAsia="es-ES"/>
        </w:rPr>
      </w:pPr>
    </w:p>
    <w:p w14:paraId="52637C56" w14:textId="77777777" w:rsidR="00831812" w:rsidRDefault="00831812" w:rsidP="00831A58">
      <w:pPr>
        <w:spacing w:after="0" w:line="240" w:lineRule="exact"/>
        <w:jc w:val="both"/>
        <w:rPr>
          <w:rFonts w:ascii="Times New Roman" w:eastAsia="Times New Roman" w:hAnsi="Times New Roman" w:cs="Times New Roman"/>
          <w:b/>
          <w:sz w:val="26"/>
          <w:szCs w:val="26"/>
          <w:lang w:eastAsia="es-ES"/>
        </w:rPr>
      </w:pPr>
    </w:p>
    <w:p w14:paraId="4DA5CE7A" w14:textId="260AE9A3" w:rsidR="00A75948" w:rsidRPr="00A75948" w:rsidRDefault="00A75948" w:rsidP="00831812">
      <w:pPr>
        <w:numPr>
          <w:ilvl w:val="0"/>
          <w:numId w:val="3"/>
        </w:numPr>
        <w:spacing w:after="120" w:line="240" w:lineRule="auto"/>
        <w:ind w:left="357" w:hanging="357"/>
        <w:jc w:val="both"/>
        <w:rPr>
          <w:rFonts w:ascii="Times New Roman" w:hAnsi="Times New Roman" w:cs="Times New Roman"/>
          <w:sz w:val="24"/>
          <w:szCs w:val="24"/>
        </w:rPr>
      </w:pPr>
      <w:hyperlink w:anchor="VALORDEREFERENCIA" w:history="1">
        <w:r w:rsidRPr="002E65E7">
          <w:rPr>
            <w:rStyle w:val="Hipervnculo"/>
            <w:rFonts w:ascii="Times New Roman" w:hAnsi="Times New Roman" w:cs="Times New Roman"/>
            <w:sz w:val="24"/>
            <w:szCs w:val="24"/>
          </w:rPr>
          <w:t>EL VALOR DE REFERENCIA</w:t>
        </w:r>
      </w:hyperlink>
      <w:r>
        <w:rPr>
          <w:rFonts w:ascii="Times New Roman" w:hAnsi="Times New Roman" w:cs="Times New Roman"/>
          <w:sz w:val="24"/>
          <w:szCs w:val="24"/>
        </w:rPr>
        <w:t xml:space="preserve">: definición, impugnación, </w:t>
      </w:r>
      <w:r w:rsidR="0036599A">
        <w:rPr>
          <w:rFonts w:ascii="Times New Roman" w:hAnsi="Times New Roman" w:cs="Times New Roman"/>
          <w:sz w:val="24"/>
          <w:szCs w:val="24"/>
        </w:rPr>
        <w:t xml:space="preserve">sanción, </w:t>
      </w:r>
      <w:r>
        <w:rPr>
          <w:rFonts w:ascii="Times New Roman" w:hAnsi="Times New Roman" w:cs="Times New Roman"/>
          <w:sz w:val="24"/>
          <w:szCs w:val="24"/>
        </w:rPr>
        <w:t>sin valor de referencia</w:t>
      </w:r>
      <w:r w:rsidR="002B4BFA">
        <w:rPr>
          <w:rFonts w:ascii="Times New Roman" w:hAnsi="Times New Roman" w:cs="Times New Roman"/>
          <w:sz w:val="24"/>
          <w:szCs w:val="24"/>
        </w:rPr>
        <w:t xml:space="preserve"> determinado</w:t>
      </w:r>
      <w:r>
        <w:rPr>
          <w:rFonts w:ascii="Times New Roman" w:hAnsi="Times New Roman" w:cs="Times New Roman"/>
          <w:sz w:val="24"/>
          <w:szCs w:val="24"/>
        </w:rPr>
        <w:t xml:space="preserve"> (valoraciones autonómicas, </w:t>
      </w:r>
      <w:r w:rsidR="00E526F4">
        <w:rPr>
          <w:rFonts w:ascii="Times New Roman" w:hAnsi="Times New Roman" w:cs="Times New Roman"/>
          <w:sz w:val="24"/>
          <w:szCs w:val="24"/>
        </w:rPr>
        <w:t xml:space="preserve">tasación hipotecaria posterior, </w:t>
      </w:r>
      <w:r>
        <w:rPr>
          <w:rFonts w:ascii="Times New Roman" w:hAnsi="Times New Roman" w:cs="Times New Roman"/>
          <w:sz w:val="24"/>
          <w:szCs w:val="24"/>
        </w:rPr>
        <w:t>Asturias)</w:t>
      </w:r>
      <w:r w:rsidR="00D8243D">
        <w:rPr>
          <w:rFonts w:ascii="Times New Roman" w:hAnsi="Times New Roman" w:cs="Times New Roman"/>
          <w:sz w:val="24"/>
          <w:szCs w:val="24"/>
        </w:rPr>
        <w:t>, con valor de referencia</w:t>
      </w:r>
      <w:r w:rsidR="002B4BFA">
        <w:rPr>
          <w:rFonts w:ascii="Times New Roman" w:hAnsi="Times New Roman" w:cs="Times New Roman"/>
          <w:sz w:val="24"/>
          <w:szCs w:val="24"/>
        </w:rPr>
        <w:t xml:space="preserve"> determinado pero</w:t>
      </w:r>
      <w:r w:rsidR="00D8243D">
        <w:rPr>
          <w:rFonts w:ascii="Times New Roman" w:hAnsi="Times New Roman" w:cs="Times New Roman"/>
          <w:sz w:val="24"/>
          <w:szCs w:val="24"/>
        </w:rPr>
        <w:t xml:space="preserve"> no aplicable</w:t>
      </w:r>
    </w:p>
    <w:p w14:paraId="6CEEF2FD" w14:textId="77777777" w:rsidR="00831812" w:rsidRPr="00B335C0" w:rsidRDefault="00831812" w:rsidP="00831812">
      <w:pPr>
        <w:numPr>
          <w:ilvl w:val="0"/>
          <w:numId w:val="3"/>
        </w:numPr>
        <w:spacing w:after="120" w:line="240" w:lineRule="auto"/>
        <w:ind w:left="357" w:hanging="357"/>
        <w:jc w:val="both"/>
        <w:rPr>
          <w:rFonts w:ascii="Times New Roman" w:hAnsi="Times New Roman" w:cs="Times New Roman"/>
          <w:sz w:val="24"/>
          <w:szCs w:val="24"/>
        </w:rPr>
      </w:pPr>
      <w:hyperlink w:anchor="AFECTADOS" w:history="1">
        <w:r w:rsidRPr="00827013">
          <w:rPr>
            <w:rStyle w:val="Hipervnculo"/>
            <w:rFonts w:ascii="Times New Roman" w:hAnsi="Times New Roman" w:cs="Times New Roman"/>
            <w:sz w:val="24"/>
            <w:szCs w:val="24"/>
          </w:rPr>
          <w:t>IMPUESTOS AFECTADOS</w:t>
        </w:r>
      </w:hyperlink>
      <w:r w:rsidRPr="00B335C0">
        <w:rPr>
          <w:rFonts w:ascii="Times New Roman" w:hAnsi="Times New Roman" w:cs="Times New Roman"/>
          <w:sz w:val="24"/>
          <w:szCs w:val="24"/>
        </w:rPr>
        <w:t xml:space="preserve">: </w:t>
      </w:r>
      <w:r w:rsidR="0012164F" w:rsidRPr="00B335C0">
        <w:rPr>
          <w:rFonts w:ascii="Times New Roman" w:hAnsi="Times New Roman" w:cs="Times New Roman"/>
          <w:sz w:val="24"/>
          <w:szCs w:val="24"/>
        </w:rPr>
        <w:t>TPO</w:t>
      </w:r>
      <w:r w:rsidR="007E487D" w:rsidRPr="00B335C0">
        <w:rPr>
          <w:rFonts w:ascii="Times New Roman" w:hAnsi="Times New Roman" w:cs="Times New Roman"/>
          <w:sz w:val="24"/>
          <w:szCs w:val="24"/>
        </w:rPr>
        <w:t xml:space="preserve"> (aportación a gananciales, liquidación de gananciales)</w:t>
      </w:r>
      <w:r w:rsidR="0012164F" w:rsidRPr="00B335C0">
        <w:rPr>
          <w:rFonts w:ascii="Times New Roman" w:hAnsi="Times New Roman" w:cs="Times New Roman"/>
          <w:sz w:val="24"/>
          <w:szCs w:val="24"/>
        </w:rPr>
        <w:t>, Operaciones societarias</w:t>
      </w:r>
      <w:r w:rsidR="007E487D" w:rsidRPr="00B335C0">
        <w:rPr>
          <w:rFonts w:ascii="Times New Roman" w:hAnsi="Times New Roman" w:cs="Times New Roman"/>
          <w:sz w:val="24"/>
          <w:szCs w:val="24"/>
        </w:rPr>
        <w:t xml:space="preserve"> (constitución y aumento de capital, liquidación y disminución de capital)</w:t>
      </w:r>
      <w:r w:rsidR="0012164F" w:rsidRPr="00B335C0">
        <w:rPr>
          <w:rFonts w:ascii="Times New Roman" w:hAnsi="Times New Roman" w:cs="Times New Roman"/>
          <w:sz w:val="24"/>
          <w:szCs w:val="24"/>
        </w:rPr>
        <w:t>, AJD</w:t>
      </w:r>
      <w:r w:rsidR="007E487D" w:rsidRPr="00B335C0">
        <w:rPr>
          <w:rFonts w:ascii="Times New Roman" w:hAnsi="Times New Roman" w:cs="Times New Roman"/>
          <w:sz w:val="24"/>
          <w:szCs w:val="24"/>
        </w:rPr>
        <w:t xml:space="preserve"> (declaración de obra, extinción de condominio)</w:t>
      </w:r>
      <w:r w:rsidR="0012164F" w:rsidRPr="00B335C0">
        <w:rPr>
          <w:rFonts w:ascii="Times New Roman" w:hAnsi="Times New Roman" w:cs="Times New Roman"/>
          <w:sz w:val="24"/>
          <w:szCs w:val="24"/>
        </w:rPr>
        <w:t>, Sucesiones</w:t>
      </w:r>
      <w:r w:rsidR="004D24A9" w:rsidRPr="00B335C0">
        <w:rPr>
          <w:rFonts w:ascii="Times New Roman" w:hAnsi="Times New Roman" w:cs="Times New Roman"/>
          <w:sz w:val="24"/>
          <w:szCs w:val="24"/>
        </w:rPr>
        <w:t xml:space="preserve"> (causadas antes y después del 1 de enero de 2022)</w:t>
      </w:r>
      <w:r w:rsidR="0012164F" w:rsidRPr="00B335C0">
        <w:rPr>
          <w:rFonts w:ascii="Times New Roman" w:hAnsi="Times New Roman" w:cs="Times New Roman"/>
          <w:sz w:val="24"/>
          <w:szCs w:val="24"/>
        </w:rPr>
        <w:t>, Donaciones, Patrimonio</w:t>
      </w:r>
      <w:r w:rsidR="004D24A9" w:rsidRPr="00B335C0">
        <w:rPr>
          <w:rFonts w:ascii="Times New Roman" w:hAnsi="Times New Roman" w:cs="Times New Roman"/>
          <w:sz w:val="24"/>
          <w:szCs w:val="24"/>
        </w:rPr>
        <w:t xml:space="preserve"> (bienes adquiridos antes o después del 1 de enero de 2022)</w:t>
      </w:r>
    </w:p>
    <w:p w14:paraId="25ECB77E" w14:textId="77777777" w:rsidR="00831812" w:rsidRPr="00B335C0" w:rsidRDefault="00831812" w:rsidP="00831812">
      <w:pPr>
        <w:numPr>
          <w:ilvl w:val="0"/>
          <w:numId w:val="3"/>
        </w:numPr>
        <w:spacing w:after="120" w:line="240" w:lineRule="auto"/>
        <w:ind w:left="357" w:hanging="357"/>
        <w:jc w:val="both"/>
        <w:rPr>
          <w:rFonts w:ascii="Times New Roman" w:hAnsi="Times New Roman" w:cs="Times New Roman"/>
          <w:sz w:val="24"/>
          <w:szCs w:val="24"/>
        </w:rPr>
      </w:pPr>
      <w:hyperlink w:anchor="NOAFECTADOS" w:history="1">
        <w:r w:rsidRPr="00B335C0">
          <w:rPr>
            <w:rStyle w:val="Hipervnculo"/>
            <w:rFonts w:ascii="Times New Roman" w:hAnsi="Times New Roman" w:cs="Times New Roman"/>
            <w:sz w:val="24"/>
            <w:szCs w:val="24"/>
          </w:rPr>
          <w:t>IMPUESTOS NO AFECTADOS</w:t>
        </w:r>
      </w:hyperlink>
      <w:r w:rsidRPr="00B335C0">
        <w:rPr>
          <w:rFonts w:ascii="Times New Roman" w:hAnsi="Times New Roman" w:cs="Times New Roman"/>
          <w:sz w:val="24"/>
          <w:szCs w:val="24"/>
        </w:rPr>
        <w:t xml:space="preserve">: </w:t>
      </w:r>
      <w:r w:rsidR="00991BBB" w:rsidRPr="00B335C0">
        <w:rPr>
          <w:rFonts w:ascii="Times New Roman" w:hAnsi="Times New Roman" w:cs="Times New Roman"/>
          <w:sz w:val="24"/>
          <w:szCs w:val="24"/>
        </w:rPr>
        <w:t>IVA</w:t>
      </w:r>
      <w:r w:rsidR="00593A8C" w:rsidRPr="00B335C0">
        <w:rPr>
          <w:rFonts w:ascii="Times New Roman" w:hAnsi="Times New Roman" w:cs="Times New Roman"/>
          <w:sz w:val="24"/>
          <w:szCs w:val="24"/>
        </w:rPr>
        <w:t xml:space="preserve"> (compatibilidad con AJD)</w:t>
      </w:r>
      <w:r w:rsidR="0012164F" w:rsidRPr="00B335C0">
        <w:rPr>
          <w:rFonts w:ascii="Times New Roman" w:hAnsi="Times New Roman" w:cs="Times New Roman"/>
          <w:sz w:val="24"/>
          <w:szCs w:val="24"/>
        </w:rPr>
        <w:t xml:space="preserve">, </w:t>
      </w:r>
      <w:r w:rsidR="00991BBB" w:rsidRPr="00B335C0">
        <w:rPr>
          <w:rFonts w:ascii="Times New Roman" w:hAnsi="Times New Roman" w:cs="Times New Roman"/>
          <w:sz w:val="24"/>
          <w:szCs w:val="24"/>
        </w:rPr>
        <w:t>plusvalía municipal,</w:t>
      </w:r>
      <w:r w:rsidR="0012164F" w:rsidRPr="00B335C0">
        <w:rPr>
          <w:rFonts w:ascii="Times New Roman" w:hAnsi="Times New Roman" w:cs="Times New Roman"/>
          <w:sz w:val="24"/>
          <w:szCs w:val="24"/>
        </w:rPr>
        <w:t xml:space="preserve"> </w:t>
      </w:r>
      <w:r w:rsidR="00991BBB" w:rsidRPr="00B335C0">
        <w:rPr>
          <w:rFonts w:ascii="Times New Roman" w:hAnsi="Times New Roman" w:cs="Times New Roman"/>
          <w:sz w:val="24"/>
          <w:szCs w:val="24"/>
        </w:rPr>
        <w:t>IRPF</w:t>
      </w:r>
      <w:r w:rsidR="00103E84">
        <w:rPr>
          <w:rFonts w:ascii="Times New Roman" w:hAnsi="Times New Roman" w:cs="Times New Roman"/>
          <w:sz w:val="24"/>
          <w:szCs w:val="24"/>
        </w:rPr>
        <w:t xml:space="preserve"> </w:t>
      </w:r>
      <w:r w:rsidR="00E83C23" w:rsidRPr="00B335C0">
        <w:rPr>
          <w:rFonts w:ascii="Times New Roman" w:hAnsi="Times New Roman" w:cs="Times New Roman"/>
          <w:sz w:val="24"/>
          <w:szCs w:val="24"/>
        </w:rPr>
        <w:t>ganancia</w:t>
      </w:r>
      <w:r w:rsidR="00103E84">
        <w:rPr>
          <w:rFonts w:ascii="Times New Roman" w:hAnsi="Times New Roman" w:cs="Times New Roman"/>
          <w:sz w:val="24"/>
          <w:szCs w:val="24"/>
        </w:rPr>
        <w:t xml:space="preserve"> o pérdida</w:t>
      </w:r>
      <w:r w:rsidR="00252625">
        <w:rPr>
          <w:rFonts w:ascii="Times New Roman" w:hAnsi="Times New Roman" w:cs="Times New Roman"/>
          <w:sz w:val="24"/>
          <w:szCs w:val="24"/>
        </w:rPr>
        <w:t xml:space="preserve"> (aportaciones onerosas y gratuitas a gana</w:t>
      </w:r>
      <w:r w:rsidR="00DE2AA0">
        <w:rPr>
          <w:rFonts w:ascii="Times New Roman" w:hAnsi="Times New Roman" w:cs="Times New Roman"/>
          <w:sz w:val="24"/>
          <w:szCs w:val="24"/>
        </w:rPr>
        <w:t>n</w:t>
      </w:r>
      <w:r w:rsidR="00252625">
        <w:rPr>
          <w:rFonts w:ascii="Times New Roman" w:hAnsi="Times New Roman" w:cs="Times New Roman"/>
          <w:sz w:val="24"/>
          <w:szCs w:val="24"/>
        </w:rPr>
        <w:t>ciales)</w:t>
      </w:r>
      <w:r w:rsidR="00E83C23" w:rsidRPr="00B335C0">
        <w:rPr>
          <w:rFonts w:ascii="Times New Roman" w:hAnsi="Times New Roman" w:cs="Times New Roman"/>
          <w:sz w:val="24"/>
          <w:szCs w:val="24"/>
        </w:rPr>
        <w:t xml:space="preserve">, </w:t>
      </w:r>
      <w:r w:rsidR="00103E84">
        <w:rPr>
          <w:rFonts w:ascii="Times New Roman" w:hAnsi="Times New Roman" w:cs="Times New Roman"/>
          <w:sz w:val="24"/>
          <w:szCs w:val="24"/>
        </w:rPr>
        <w:t xml:space="preserve">IRPF </w:t>
      </w:r>
      <w:r w:rsidR="00E83C23" w:rsidRPr="00B335C0">
        <w:rPr>
          <w:rFonts w:ascii="Times New Roman" w:hAnsi="Times New Roman" w:cs="Times New Roman"/>
          <w:sz w:val="24"/>
          <w:szCs w:val="24"/>
        </w:rPr>
        <w:t>imputación de renta</w:t>
      </w:r>
      <w:r w:rsidR="00991BBB" w:rsidRPr="00B335C0">
        <w:rPr>
          <w:rFonts w:ascii="Times New Roman" w:hAnsi="Times New Roman" w:cs="Times New Roman"/>
          <w:sz w:val="24"/>
          <w:szCs w:val="24"/>
        </w:rPr>
        <w:t>, sociedades, no residentes</w:t>
      </w:r>
      <w:r w:rsidR="00ED0045" w:rsidRPr="00B335C0">
        <w:rPr>
          <w:rFonts w:ascii="Times New Roman" w:hAnsi="Times New Roman" w:cs="Times New Roman"/>
          <w:sz w:val="24"/>
          <w:szCs w:val="24"/>
        </w:rPr>
        <w:t xml:space="preserve"> (retención 3%, ganancia)</w:t>
      </w:r>
    </w:p>
    <w:p w14:paraId="05481FB0" w14:textId="15CEBC78" w:rsidR="00882C78" w:rsidRPr="00EB7FEA" w:rsidRDefault="00831812" w:rsidP="00831812">
      <w:pPr>
        <w:numPr>
          <w:ilvl w:val="0"/>
          <w:numId w:val="3"/>
        </w:numPr>
        <w:spacing w:after="120" w:line="240" w:lineRule="auto"/>
        <w:ind w:left="357" w:hanging="357"/>
        <w:jc w:val="both"/>
        <w:rPr>
          <w:rFonts w:ascii="Times New Roman" w:hAnsi="Times New Roman" w:cs="Times New Roman"/>
          <w:sz w:val="24"/>
          <w:szCs w:val="24"/>
        </w:rPr>
      </w:pPr>
      <w:hyperlink w:anchor="DISCUTIDOS" w:history="1">
        <w:r w:rsidRPr="00B335C0">
          <w:rPr>
            <w:rStyle w:val="Hipervnculo"/>
            <w:rFonts w:ascii="Times New Roman" w:hAnsi="Times New Roman" w:cs="Times New Roman"/>
            <w:sz w:val="24"/>
            <w:szCs w:val="24"/>
          </w:rPr>
          <w:t>SUPUESTOS DIS</w:t>
        </w:r>
        <w:r w:rsidRPr="00B335C0">
          <w:rPr>
            <w:rStyle w:val="Hipervnculo"/>
            <w:rFonts w:ascii="Times New Roman" w:hAnsi="Times New Roman" w:cs="Times New Roman"/>
            <w:sz w:val="24"/>
            <w:szCs w:val="24"/>
          </w:rPr>
          <w:t>C</w:t>
        </w:r>
        <w:r w:rsidRPr="00B335C0">
          <w:rPr>
            <w:rStyle w:val="Hipervnculo"/>
            <w:rFonts w:ascii="Times New Roman" w:hAnsi="Times New Roman" w:cs="Times New Roman"/>
            <w:sz w:val="24"/>
            <w:szCs w:val="24"/>
          </w:rPr>
          <w:t>UTIDO</w:t>
        </w:r>
        <w:r w:rsidR="00EB7FEA">
          <w:rPr>
            <w:rStyle w:val="Hipervnculo"/>
            <w:rFonts w:ascii="Times New Roman" w:hAnsi="Times New Roman" w:cs="Times New Roman"/>
            <w:sz w:val="24"/>
            <w:szCs w:val="24"/>
          </w:rPr>
          <w:t>S</w:t>
        </w:r>
      </w:hyperlink>
      <w:r w:rsidRPr="00B335C0">
        <w:rPr>
          <w:rFonts w:ascii="Times New Roman" w:hAnsi="Times New Roman" w:cs="Times New Roman"/>
          <w:sz w:val="24"/>
          <w:szCs w:val="24"/>
        </w:rPr>
        <w:t xml:space="preserve">: </w:t>
      </w:r>
      <w:r w:rsidR="00B5691A" w:rsidRPr="00B335C0">
        <w:rPr>
          <w:rFonts w:ascii="Times New Roman" w:hAnsi="Times New Roman" w:cs="Times New Roman"/>
          <w:sz w:val="24"/>
          <w:szCs w:val="24"/>
        </w:rPr>
        <w:t>vivienda protegida</w:t>
      </w:r>
      <w:r w:rsidR="000A2DA0">
        <w:rPr>
          <w:rFonts w:ascii="Times New Roman" w:hAnsi="Times New Roman" w:cs="Times New Roman"/>
          <w:sz w:val="24"/>
          <w:szCs w:val="24"/>
        </w:rPr>
        <w:t xml:space="preserve"> (Resolución DGT 27/02/2022)</w:t>
      </w:r>
      <w:r w:rsidR="00B335C0" w:rsidRPr="00B335C0">
        <w:rPr>
          <w:rFonts w:ascii="Times New Roman" w:hAnsi="Times New Roman" w:cs="Times New Roman"/>
          <w:sz w:val="24"/>
          <w:szCs w:val="24"/>
        </w:rPr>
        <w:t>, subasta pública</w:t>
      </w:r>
      <w:r w:rsidR="000A2DA0">
        <w:rPr>
          <w:rFonts w:ascii="Times New Roman" w:hAnsi="Times New Roman" w:cs="Times New Roman"/>
          <w:sz w:val="24"/>
          <w:szCs w:val="24"/>
        </w:rPr>
        <w:t xml:space="preserve"> (Resolución DGT 09/03/2022)</w:t>
      </w:r>
      <w:r w:rsidR="00F1642A">
        <w:rPr>
          <w:rFonts w:ascii="Times New Roman" w:hAnsi="Times New Roman" w:cs="Times New Roman"/>
          <w:sz w:val="24"/>
          <w:szCs w:val="24"/>
        </w:rPr>
        <w:t xml:space="preserve">, </w:t>
      </w:r>
      <w:r w:rsidR="00732848">
        <w:rPr>
          <w:rFonts w:ascii="Times New Roman" w:hAnsi="Times New Roman" w:cs="Times New Roman"/>
          <w:sz w:val="24"/>
          <w:szCs w:val="24"/>
        </w:rPr>
        <w:t xml:space="preserve">vivienda okupada (Resolución DGT 18/09/2024), </w:t>
      </w:r>
      <w:r w:rsidR="00F1642A">
        <w:rPr>
          <w:rFonts w:ascii="Times New Roman" w:hAnsi="Times New Roman" w:cs="Times New Roman"/>
          <w:sz w:val="24"/>
          <w:szCs w:val="24"/>
        </w:rPr>
        <w:t>concurso</w:t>
      </w:r>
      <w:r w:rsidR="009202E1">
        <w:rPr>
          <w:rFonts w:ascii="Times New Roman" w:hAnsi="Times New Roman" w:cs="Times New Roman"/>
          <w:sz w:val="24"/>
          <w:szCs w:val="24"/>
        </w:rPr>
        <w:t xml:space="preserve"> (art. 46-5 D-leg 1/1993)</w:t>
      </w:r>
      <w:r w:rsidR="00731637">
        <w:rPr>
          <w:rFonts w:ascii="Times New Roman" w:hAnsi="Times New Roman" w:cs="Times New Roman"/>
          <w:sz w:val="24"/>
          <w:szCs w:val="24"/>
        </w:rPr>
        <w:t>, cesión del derecho hereditario</w:t>
      </w:r>
      <w:r w:rsidR="005553BB">
        <w:rPr>
          <w:rFonts w:ascii="Times New Roman" w:hAnsi="Times New Roman" w:cs="Times New Roman"/>
          <w:sz w:val="24"/>
          <w:szCs w:val="24"/>
        </w:rPr>
        <w:t xml:space="preserve"> </w:t>
      </w:r>
      <w:r w:rsidR="00094C35" w:rsidRPr="007246D9">
        <w:rPr>
          <w:rFonts w:ascii="Times New Roman" w:hAnsi="Times New Roman" w:cs="Times New Roman"/>
          <w:sz w:val="24"/>
          <w:szCs w:val="24"/>
        </w:rPr>
        <w:t>y del postganancial</w:t>
      </w:r>
      <w:r w:rsidR="007246D9" w:rsidRPr="007246D9">
        <w:rPr>
          <w:rFonts w:ascii="Times New Roman" w:hAnsi="Times New Roman" w:cs="Times New Roman"/>
          <w:sz w:val="24"/>
          <w:szCs w:val="24"/>
        </w:rPr>
        <w:t xml:space="preserve"> </w:t>
      </w:r>
      <w:r w:rsidR="007246D9" w:rsidRPr="007246D9">
        <w:rPr>
          <w:rFonts w:ascii="Times New Roman" w:hAnsi="Times New Roman" w:cs="Times New Roman"/>
          <w:spacing w:val="6"/>
          <w:sz w:val="24"/>
          <w:szCs w:val="24"/>
          <w:lang w:val="es-ES_tradnl"/>
        </w:rPr>
        <w:t>«</w:t>
      </w:r>
      <w:r w:rsidR="007246D9" w:rsidRPr="007246D9">
        <w:rPr>
          <w:rFonts w:ascii="Times New Roman" w:eastAsia="Times New Roman" w:hAnsi="Times New Roman" w:cs="Times New Roman"/>
          <w:sz w:val="24"/>
          <w:szCs w:val="24"/>
          <w:lang w:eastAsia="es-ES"/>
        </w:rPr>
        <w:t>in abstracto</w:t>
      </w:r>
      <w:r w:rsidR="007246D9" w:rsidRPr="007246D9">
        <w:rPr>
          <w:rFonts w:ascii="Times New Roman" w:eastAsia="Times New Roman" w:hAnsi="Times New Roman" w:cs="Times New Roman"/>
          <w:sz w:val="24"/>
          <w:szCs w:val="24"/>
          <w:lang w:val="es-ES_tradnl" w:eastAsia="es-ES"/>
        </w:rPr>
        <w:t>»</w:t>
      </w:r>
      <w:r w:rsidR="00EB7FEA">
        <w:rPr>
          <w:rFonts w:ascii="Times New Roman" w:eastAsia="Times New Roman" w:hAnsi="Times New Roman" w:cs="Times New Roman"/>
          <w:sz w:val="24"/>
          <w:szCs w:val="24"/>
          <w:lang w:val="es-ES_tradnl" w:eastAsia="es-ES"/>
        </w:rPr>
        <w:t>, inversiones exteriores en inmuebles de más de 500.000 €</w:t>
      </w:r>
      <w:r w:rsidR="00375F16">
        <w:rPr>
          <w:rFonts w:ascii="Times New Roman" w:eastAsia="Times New Roman" w:hAnsi="Times New Roman" w:cs="Times New Roman"/>
          <w:sz w:val="24"/>
          <w:szCs w:val="24"/>
          <w:lang w:val="es-ES_tradnl" w:eastAsia="es-ES"/>
        </w:rPr>
        <w:t>, declaraciones de obra</w:t>
      </w:r>
    </w:p>
    <w:p w14:paraId="00B45296" w14:textId="3D751F48" w:rsidR="00EB7FEA" w:rsidRPr="007246D9" w:rsidRDefault="00C42031" w:rsidP="00831812">
      <w:pPr>
        <w:numPr>
          <w:ilvl w:val="0"/>
          <w:numId w:val="3"/>
        </w:numPr>
        <w:spacing w:after="120" w:line="240" w:lineRule="auto"/>
        <w:ind w:left="357" w:hanging="357"/>
        <w:jc w:val="both"/>
        <w:rPr>
          <w:rFonts w:ascii="Times New Roman" w:hAnsi="Times New Roman" w:cs="Times New Roman"/>
          <w:sz w:val="24"/>
          <w:szCs w:val="24"/>
        </w:rPr>
      </w:pPr>
      <w:hyperlink w:anchor="DISCUTIDOS2" w:history="1">
        <w:r>
          <w:rPr>
            <w:rStyle w:val="Hipervnculo"/>
            <w:rFonts w:ascii="Times New Roman" w:hAnsi="Times New Roman" w:cs="Times New Roman"/>
            <w:sz w:val="24"/>
            <w:szCs w:val="24"/>
          </w:rPr>
          <w:t>EXCESOS DE ADJUDICACIÓN</w:t>
        </w:r>
      </w:hyperlink>
      <w:r w:rsidR="00EB7FEA">
        <w:rPr>
          <w:rFonts w:ascii="Times New Roman" w:hAnsi="Times New Roman" w:cs="Times New Roman"/>
          <w:sz w:val="24"/>
          <w:szCs w:val="24"/>
        </w:rPr>
        <w:t xml:space="preserve">: </w:t>
      </w:r>
      <w:r>
        <w:rPr>
          <w:rFonts w:ascii="Times New Roman" w:hAnsi="Times New Roman" w:cs="Times New Roman"/>
          <w:sz w:val="24"/>
          <w:szCs w:val="24"/>
        </w:rPr>
        <w:t>regla general, excepción, ¿sujeción al Impuesto sobre Donaciones?</w:t>
      </w:r>
      <w:r w:rsidR="00EB7FEA">
        <w:rPr>
          <w:rFonts w:ascii="Times New Roman" w:hAnsi="Times New Roman" w:cs="Times New Roman"/>
          <w:sz w:val="24"/>
          <w:szCs w:val="24"/>
        </w:rPr>
        <w:t xml:space="preserve"> </w:t>
      </w:r>
      <w:r w:rsidR="00EB7FEA" w:rsidRPr="00B335C0">
        <w:rPr>
          <w:rFonts w:ascii="Times New Roman" w:hAnsi="Times New Roman" w:cs="Times New Roman"/>
          <w:sz w:val="24"/>
          <w:szCs w:val="24"/>
        </w:rPr>
        <w:t>(Resoluci</w:t>
      </w:r>
      <w:r w:rsidR="00EB7FEA">
        <w:rPr>
          <w:rFonts w:ascii="Times New Roman" w:hAnsi="Times New Roman" w:cs="Times New Roman"/>
          <w:sz w:val="24"/>
          <w:szCs w:val="24"/>
        </w:rPr>
        <w:t>ones</w:t>
      </w:r>
      <w:r w:rsidR="00EB7FEA" w:rsidRPr="00B335C0">
        <w:rPr>
          <w:rFonts w:ascii="Times New Roman" w:hAnsi="Times New Roman" w:cs="Times New Roman"/>
          <w:sz w:val="24"/>
          <w:szCs w:val="24"/>
        </w:rPr>
        <w:t xml:space="preserve"> DGT 28/01/2022</w:t>
      </w:r>
      <w:r w:rsidR="00856359">
        <w:rPr>
          <w:rFonts w:ascii="Times New Roman" w:hAnsi="Times New Roman" w:cs="Times New Roman"/>
          <w:sz w:val="24"/>
          <w:szCs w:val="24"/>
        </w:rPr>
        <w:t xml:space="preserve">, </w:t>
      </w:r>
      <w:r w:rsidR="00EB7FEA">
        <w:rPr>
          <w:rFonts w:ascii="Times New Roman" w:hAnsi="Times New Roman" w:cs="Times New Roman"/>
          <w:sz w:val="24"/>
          <w:szCs w:val="24"/>
        </w:rPr>
        <w:t>18/09/2023</w:t>
      </w:r>
      <w:r w:rsidR="00856359">
        <w:rPr>
          <w:rFonts w:ascii="Times New Roman" w:hAnsi="Times New Roman" w:cs="Times New Roman"/>
          <w:sz w:val="24"/>
          <w:szCs w:val="24"/>
        </w:rPr>
        <w:t>, 11/12/2024 y 17/12/2024</w:t>
      </w:r>
      <w:r w:rsidR="00EB7FEA" w:rsidRPr="00B335C0">
        <w:rPr>
          <w:rFonts w:ascii="Times New Roman" w:hAnsi="Times New Roman" w:cs="Times New Roman"/>
          <w:sz w:val="24"/>
          <w:szCs w:val="24"/>
        </w:rPr>
        <w:t>)</w:t>
      </w:r>
      <w:r>
        <w:rPr>
          <w:rFonts w:ascii="Times New Roman" w:hAnsi="Times New Roman" w:cs="Times New Roman"/>
          <w:sz w:val="24"/>
          <w:szCs w:val="24"/>
        </w:rPr>
        <w:t>, soluciones</w:t>
      </w:r>
      <w:r w:rsidR="000C56BF">
        <w:rPr>
          <w:rFonts w:ascii="Times New Roman" w:hAnsi="Times New Roman" w:cs="Times New Roman"/>
          <w:sz w:val="24"/>
          <w:szCs w:val="24"/>
        </w:rPr>
        <w:t>, advertencia notarial</w:t>
      </w:r>
    </w:p>
    <w:p w14:paraId="3AF45E48" w14:textId="77777777" w:rsidR="002051D7" w:rsidRDefault="002051D7">
      <w:r>
        <w:br w:type="page"/>
      </w:r>
    </w:p>
    <w:p w14:paraId="4BD1C49A" w14:textId="77777777" w:rsidR="00574CA6" w:rsidRDefault="00574CA6" w:rsidP="00956118">
      <w:pPr>
        <w:spacing w:after="0" w:line="2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660"/>
      </w:tblGrid>
      <w:tr w:rsidR="00FB04B0" w:rsidRPr="000E48AA" w14:paraId="0F13E708" w14:textId="77777777" w:rsidTr="00AF08F0">
        <w:trPr>
          <w:trHeight w:hRule="exact" w:val="667"/>
          <w:jc w:val="center"/>
        </w:trPr>
        <w:tc>
          <w:tcPr>
            <w:tcW w:w="1798" w:type="dxa"/>
            <w:tcBorders>
              <w:top w:val="single" w:sz="18" w:space="0" w:color="FFFFFF"/>
              <w:left w:val="single" w:sz="18" w:space="0" w:color="FFFFFF"/>
              <w:right w:val="single" w:sz="18" w:space="0" w:color="auto"/>
            </w:tcBorders>
            <w:shd w:val="clear" w:color="auto" w:fill="FFFFFF"/>
          </w:tcPr>
          <w:p w14:paraId="4970169F" w14:textId="77777777" w:rsidR="00FB04B0" w:rsidRDefault="00FB04B0" w:rsidP="000E48AA">
            <w:pPr>
              <w:spacing w:after="0" w:line="240" w:lineRule="auto"/>
              <w:jc w:val="center"/>
              <w:rPr>
                <w:rFonts w:ascii="Times New Roman" w:eastAsia="Times New Roman" w:hAnsi="Times New Roman" w:cs="Times New Roman"/>
                <w:sz w:val="24"/>
                <w:szCs w:val="24"/>
                <w:lang w:eastAsia="es-ES"/>
              </w:rPr>
            </w:pPr>
          </w:p>
          <w:p w14:paraId="6C20A0F5" w14:textId="77777777" w:rsidR="00FB04B0" w:rsidRDefault="00FB04B0" w:rsidP="000E48AA">
            <w:pPr>
              <w:spacing w:after="0" w:line="240" w:lineRule="auto"/>
              <w:jc w:val="center"/>
              <w:rPr>
                <w:rFonts w:ascii="Times New Roman" w:eastAsia="Times New Roman" w:hAnsi="Times New Roman" w:cs="Times New Roman"/>
                <w:sz w:val="24"/>
                <w:szCs w:val="24"/>
                <w:lang w:eastAsia="es-ES"/>
              </w:rPr>
            </w:pPr>
          </w:p>
          <w:p w14:paraId="3ACBD6FB" w14:textId="77777777" w:rsidR="00FB04B0" w:rsidRPr="000E48AA" w:rsidRDefault="00FB04B0" w:rsidP="000E48AA">
            <w:pPr>
              <w:spacing w:after="0" w:line="240" w:lineRule="auto"/>
              <w:jc w:val="center"/>
              <w:rPr>
                <w:rFonts w:ascii="Times New Roman" w:eastAsia="Times New Roman" w:hAnsi="Times New Roman" w:cs="Times New Roman"/>
                <w:sz w:val="24"/>
                <w:szCs w:val="24"/>
                <w:lang w:eastAsia="es-ES"/>
              </w:rPr>
            </w:pPr>
          </w:p>
        </w:tc>
        <w:tc>
          <w:tcPr>
            <w:tcW w:w="6660" w:type="dxa"/>
            <w:tcBorders>
              <w:top w:val="single" w:sz="18" w:space="0" w:color="auto"/>
              <w:left w:val="single" w:sz="18" w:space="0" w:color="auto"/>
              <w:bottom w:val="single" w:sz="2" w:space="0" w:color="auto"/>
              <w:right w:val="single" w:sz="18" w:space="0" w:color="auto"/>
            </w:tcBorders>
            <w:shd w:val="clear" w:color="auto" w:fill="CCCCCC"/>
            <w:vAlign w:val="center"/>
          </w:tcPr>
          <w:p w14:paraId="39033E51" w14:textId="77777777" w:rsidR="00FB04B0" w:rsidRDefault="00FB04B0" w:rsidP="00FD40BC">
            <w:pPr>
              <w:spacing w:before="60" w:after="0" w:line="220" w:lineRule="exact"/>
              <w:jc w:val="center"/>
              <w:rPr>
                <w:rFonts w:ascii="Times New Roman" w:eastAsia="Times New Roman" w:hAnsi="Times New Roman" w:cs="Times New Roman"/>
                <w:b/>
                <w:color w:val="000000"/>
                <w:sz w:val="28"/>
                <w:szCs w:val="28"/>
                <w:lang w:eastAsia="es-ES"/>
              </w:rPr>
            </w:pPr>
            <w:bookmarkStart w:id="0" w:name="AUTONÓMICO"/>
            <w:bookmarkEnd w:id="0"/>
            <w:r w:rsidRPr="00A34BA2">
              <w:rPr>
                <w:rFonts w:ascii="Times New Roman" w:eastAsia="Times New Roman" w:hAnsi="Times New Roman" w:cs="Times New Roman"/>
                <w:b/>
                <w:color w:val="000000"/>
                <w:sz w:val="28"/>
                <w:szCs w:val="28"/>
                <w:lang w:eastAsia="es-ES"/>
              </w:rPr>
              <w:t xml:space="preserve">1. </w:t>
            </w:r>
            <w:bookmarkStart w:id="1" w:name="VALORDEREFERENCIA"/>
            <w:bookmarkEnd w:id="1"/>
            <w:r w:rsidRPr="00A34BA2">
              <w:rPr>
                <w:rFonts w:ascii="Times New Roman" w:eastAsia="Times New Roman" w:hAnsi="Times New Roman" w:cs="Times New Roman"/>
                <w:b/>
                <w:color w:val="000000"/>
                <w:sz w:val="28"/>
                <w:szCs w:val="28"/>
                <w:lang w:eastAsia="es-ES"/>
              </w:rPr>
              <w:t>EL VALOR DE REFERENCIA</w:t>
            </w:r>
          </w:p>
          <w:p w14:paraId="4C7A68D1" w14:textId="3FAFC85B" w:rsidR="00D06981" w:rsidRPr="00A34BA2" w:rsidRDefault="00D06981" w:rsidP="00FD40BC">
            <w:pPr>
              <w:spacing w:after="60" w:line="220" w:lineRule="exact"/>
              <w:jc w:val="center"/>
              <w:rPr>
                <w:rFonts w:ascii="Times New Roman" w:eastAsia="Times New Roman" w:hAnsi="Times New Roman" w:cs="Times New Roman"/>
                <w:b/>
                <w:color w:val="000000"/>
                <w:sz w:val="28"/>
                <w:szCs w:val="28"/>
                <w:lang w:eastAsia="es-ES"/>
              </w:rPr>
            </w:pPr>
            <w:r>
              <w:rPr>
                <w:rFonts w:ascii="Times New Roman" w:eastAsia="Times New Roman" w:hAnsi="Times New Roman" w:cs="Times New Roman"/>
                <w:color w:val="000000"/>
                <w:sz w:val="20"/>
                <w:szCs w:val="20"/>
                <w:lang w:eastAsia="es-ES"/>
              </w:rPr>
              <w:t xml:space="preserve">[ver </w:t>
            </w:r>
            <w:r>
              <w:rPr>
                <w:rFonts w:ascii="Times New Roman" w:eastAsia="Times New Roman" w:hAnsi="Times New Roman" w:cs="Times New Roman"/>
                <w:sz w:val="20"/>
                <w:szCs w:val="20"/>
                <w:lang w:eastAsia="es-ES"/>
              </w:rPr>
              <w:t>Javier</w:t>
            </w:r>
            <w:r w:rsidRPr="0062680D">
              <w:rPr>
                <w:rFonts w:ascii="Times New Roman" w:eastAsia="Times New Roman" w:hAnsi="Times New Roman" w:cs="Times New Roman"/>
                <w:sz w:val="20"/>
                <w:szCs w:val="20"/>
                <w:lang w:eastAsia="es-ES"/>
              </w:rPr>
              <w:t xml:space="preserve"> JUÁREZ</w:t>
            </w:r>
            <w:r>
              <w:rPr>
                <w:rFonts w:ascii="Times New Roman" w:eastAsia="Times New Roman" w:hAnsi="Times New Roman" w:cs="Times New Roman"/>
                <w:color w:val="000000"/>
                <w:sz w:val="20"/>
                <w:szCs w:val="20"/>
                <w:lang w:eastAsia="es-ES"/>
              </w:rPr>
              <w:t xml:space="preserve"> (</w:t>
            </w:r>
            <w:hyperlink r:id="rId9" w:history="1">
              <w:r w:rsidRPr="00B01070">
                <w:rPr>
                  <w:rStyle w:val="Hipervnculo"/>
                  <w:rFonts w:ascii="Times New Roman" w:eastAsia="Times New Roman" w:hAnsi="Times New Roman" w:cs="Times New Roman"/>
                  <w:sz w:val="20"/>
                  <w:szCs w:val="20"/>
                  <w:lang w:eastAsia="es-ES"/>
                </w:rPr>
                <w:t>enero 2022</w:t>
              </w:r>
            </w:hyperlink>
            <w:r>
              <w:rPr>
                <w:rFonts w:ascii="Times New Roman" w:eastAsia="Times New Roman" w:hAnsi="Times New Roman" w:cs="Times New Roman"/>
                <w:color w:val="000000"/>
                <w:sz w:val="20"/>
                <w:szCs w:val="20"/>
                <w:lang w:eastAsia="es-ES"/>
              </w:rPr>
              <w:t>)</w:t>
            </w:r>
            <w:r w:rsidR="006D54DB">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 xml:space="preserve"> (</w:t>
            </w:r>
            <w:hyperlink r:id="rId10" w:history="1">
              <w:r w:rsidRPr="00B01070">
                <w:rPr>
                  <w:rStyle w:val="Hipervnculo"/>
                  <w:rFonts w:ascii="Times New Roman" w:eastAsia="Times New Roman" w:hAnsi="Times New Roman" w:cs="Times New Roman"/>
                  <w:sz w:val="20"/>
                  <w:szCs w:val="20"/>
                  <w:lang w:eastAsia="es-ES"/>
                </w:rPr>
                <w:t>julio 2022</w:t>
              </w:r>
            </w:hyperlink>
            <w:r>
              <w:rPr>
                <w:rFonts w:ascii="Times New Roman" w:eastAsia="Times New Roman" w:hAnsi="Times New Roman" w:cs="Times New Roman"/>
                <w:color w:val="000000"/>
                <w:sz w:val="20"/>
                <w:szCs w:val="20"/>
                <w:lang w:eastAsia="es-ES"/>
              </w:rPr>
              <w:t>)</w:t>
            </w:r>
            <w:r w:rsidR="006D54DB">
              <w:rPr>
                <w:rFonts w:ascii="Times New Roman" w:eastAsia="Times New Roman" w:hAnsi="Times New Roman" w:cs="Times New Roman"/>
                <w:color w:val="000000"/>
                <w:sz w:val="20"/>
                <w:szCs w:val="20"/>
                <w:lang w:eastAsia="es-ES"/>
              </w:rPr>
              <w:t xml:space="preserve"> y (</w:t>
            </w:r>
            <w:hyperlink r:id="rId11" w:anchor="tercera-parte-tema-del-mes-cuando-no-existe-el-valor-de-referencia-aunque-formalmente-exista-resolucion-la-direccion-general-del-catastro-de-25-de-octubre-de-2023" w:history="1">
              <w:r w:rsidR="006D54DB" w:rsidRPr="006D54DB">
                <w:rPr>
                  <w:rStyle w:val="Hipervnculo"/>
                  <w:rFonts w:ascii="Times New Roman" w:eastAsia="Times New Roman" w:hAnsi="Times New Roman" w:cs="Times New Roman"/>
                  <w:sz w:val="20"/>
                  <w:szCs w:val="20"/>
                  <w:lang w:eastAsia="es-ES"/>
                </w:rPr>
                <w:t>noviembre 2024</w:t>
              </w:r>
            </w:hyperlink>
            <w:r w:rsidR="006D54DB">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w:t>
            </w:r>
          </w:p>
        </w:tc>
      </w:tr>
      <w:tr w:rsidR="001C16F7" w:rsidRPr="000E48AA" w14:paraId="21E0DBF6" w14:textId="77777777" w:rsidTr="00755EE9">
        <w:trPr>
          <w:trHeight w:val="313"/>
          <w:jc w:val="center"/>
        </w:trPr>
        <w:tc>
          <w:tcPr>
            <w:tcW w:w="1798" w:type="dxa"/>
            <w:vMerge w:val="restart"/>
            <w:tcBorders>
              <w:top w:val="single" w:sz="18" w:space="0" w:color="auto"/>
              <w:left w:val="single" w:sz="18" w:space="0" w:color="auto"/>
              <w:right w:val="single" w:sz="18" w:space="0" w:color="auto"/>
            </w:tcBorders>
            <w:shd w:val="clear" w:color="auto" w:fill="FFFFFF"/>
            <w:vAlign w:val="center"/>
          </w:tcPr>
          <w:p w14:paraId="0992CDDD" w14:textId="77777777" w:rsidR="001C16F7" w:rsidRPr="000E48AA" w:rsidRDefault="001C16F7" w:rsidP="00995A71">
            <w:pPr>
              <w:spacing w:before="60" w:after="6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Definición</w:t>
            </w:r>
          </w:p>
        </w:tc>
        <w:tc>
          <w:tcPr>
            <w:tcW w:w="6660" w:type="dxa"/>
            <w:tcBorders>
              <w:top w:val="single" w:sz="18" w:space="0" w:color="auto"/>
              <w:left w:val="single" w:sz="18" w:space="0" w:color="auto"/>
              <w:bottom w:val="single" w:sz="6" w:space="0" w:color="auto"/>
              <w:right w:val="single" w:sz="18" w:space="0" w:color="auto"/>
            </w:tcBorders>
            <w:shd w:val="clear" w:color="auto" w:fill="FFFFFF"/>
            <w:vAlign w:val="center"/>
          </w:tcPr>
          <w:p w14:paraId="5FF0545A" w14:textId="77777777" w:rsidR="001C16F7" w:rsidRPr="00AF08F0" w:rsidRDefault="001C16F7" w:rsidP="00AF08F0">
            <w:pPr>
              <w:spacing w:before="60" w:after="20" w:line="200" w:lineRule="exact"/>
              <w:jc w:val="center"/>
              <w:rPr>
                <w:rFonts w:ascii="Times New Roman" w:eastAsia="Times New Roman" w:hAnsi="Times New Roman" w:cs="Times New Roman"/>
                <w:b/>
                <w:lang w:eastAsia="es-ES"/>
              </w:rPr>
            </w:pPr>
            <w:r w:rsidRPr="00AF08F0">
              <w:rPr>
                <w:rFonts w:ascii="Times New Roman" w:hAnsi="Times New Roman" w:cs="Times New Roman"/>
                <w:spacing w:val="6"/>
              </w:rPr>
              <w:t xml:space="preserve">La </w:t>
            </w:r>
            <w:hyperlink r:id="rId12" w:history="1">
              <w:r w:rsidRPr="00AF08F0">
                <w:rPr>
                  <w:rStyle w:val="Hipervnculo"/>
                  <w:rFonts w:ascii="Times New Roman" w:hAnsi="Times New Roman" w:cs="Times New Roman"/>
                  <w:spacing w:val="6"/>
                </w:rPr>
                <w:t>Ley 11/2021</w:t>
              </w:r>
            </w:hyperlink>
            <w:r w:rsidRPr="00AF08F0">
              <w:rPr>
                <w:rFonts w:ascii="Times New Roman" w:hAnsi="Times New Roman" w:cs="Times New Roman"/>
                <w:spacing w:val="6"/>
              </w:rPr>
              <w:t xml:space="preserve">, con efectos desde el 1 de enero de 2022, ha introducido el </w:t>
            </w:r>
            <w:r w:rsidRPr="00AF08F0">
              <w:rPr>
                <w:rFonts w:ascii="Times New Roman" w:hAnsi="Times New Roman" w:cs="Times New Roman"/>
                <w:spacing w:val="6"/>
                <w:lang w:val="es-ES_tradnl"/>
              </w:rPr>
              <w:t>«</w:t>
            </w:r>
            <w:r w:rsidRPr="00AF08F0">
              <w:rPr>
                <w:rFonts w:ascii="Times New Roman" w:hAnsi="Times New Roman" w:cs="Times New Roman"/>
                <w:spacing w:val="6"/>
              </w:rPr>
              <w:t>valor de referencia</w:t>
            </w:r>
            <w:r w:rsidRPr="00AF08F0">
              <w:rPr>
                <w:rFonts w:ascii="Times New Roman" w:hAnsi="Times New Roman" w:cs="Times New Roman"/>
                <w:spacing w:val="6"/>
                <w:lang w:val="es-ES_tradnl"/>
              </w:rPr>
              <w:t>»</w:t>
            </w:r>
            <w:r w:rsidRPr="00AF08F0">
              <w:rPr>
                <w:rFonts w:ascii="Times New Roman" w:hAnsi="Times New Roman" w:cs="Times New Roman"/>
                <w:spacing w:val="6"/>
              </w:rPr>
              <w:t xml:space="preserve"> para la determinación de la base imponible en las adquisiciones de inmuebles</w:t>
            </w:r>
          </w:p>
        </w:tc>
      </w:tr>
      <w:tr w:rsidR="001C16F7" w:rsidRPr="000E48AA" w14:paraId="73E17C20" w14:textId="77777777" w:rsidTr="00755EE9">
        <w:trPr>
          <w:trHeight w:val="313"/>
          <w:jc w:val="center"/>
        </w:trPr>
        <w:tc>
          <w:tcPr>
            <w:tcW w:w="1798" w:type="dxa"/>
            <w:vMerge/>
            <w:tcBorders>
              <w:left w:val="single" w:sz="18" w:space="0" w:color="auto"/>
              <w:right w:val="single" w:sz="18" w:space="0" w:color="auto"/>
            </w:tcBorders>
            <w:shd w:val="clear" w:color="auto" w:fill="FFFFFF"/>
            <w:vAlign w:val="center"/>
          </w:tcPr>
          <w:p w14:paraId="4A6328FC" w14:textId="77777777" w:rsidR="001C16F7" w:rsidRDefault="001C16F7" w:rsidP="00995A71">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6" w:space="0" w:color="auto"/>
              <w:left w:val="single" w:sz="18" w:space="0" w:color="auto"/>
              <w:bottom w:val="single" w:sz="6" w:space="0" w:color="auto"/>
              <w:right w:val="single" w:sz="18" w:space="0" w:color="auto"/>
            </w:tcBorders>
            <w:shd w:val="clear" w:color="auto" w:fill="FFFFFF"/>
            <w:vAlign w:val="center"/>
          </w:tcPr>
          <w:p w14:paraId="3D874977" w14:textId="77777777" w:rsidR="00C2385B" w:rsidRPr="0055777E" w:rsidRDefault="001C16F7" w:rsidP="0055777E">
            <w:pPr>
              <w:spacing w:before="40" w:after="20" w:line="180" w:lineRule="exact"/>
              <w:jc w:val="center"/>
              <w:rPr>
                <w:rFonts w:ascii="Times New Roman" w:eastAsia="Times New Roman" w:hAnsi="Times New Roman" w:cs="Times New Roman"/>
                <w:color w:val="000000"/>
                <w:sz w:val="20"/>
                <w:szCs w:val="20"/>
                <w:lang w:eastAsia="es-ES"/>
              </w:rPr>
            </w:pPr>
            <w:r w:rsidRPr="0055777E">
              <w:rPr>
                <w:rFonts w:ascii="Times New Roman" w:eastAsia="Times New Roman" w:hAnsi="Times New Roman" w:cs="Times New Roman"/>
                <w:color w:val="000000"/>
                <w:lang w:eastAsia="es-ES"/>
              </w:rPr>
              <w:t>Se establece por el Catastro</w:t>
            </w:r>
            <w:r w:rsidR="001A4A0F" w:rsidRPr="0055777E">
              <w:rPr>
                <w:rFonts w:ascii="Times New Roman" w:eastAsia="Times New Roman" w:hAnsi="Times New Roman" w:cs="Times New Roman"/>
                <w:color w:val="000000"/>
                <w:lang w:eastAsia="es-ES"/>
              </w:rPr>
              <w:t xml:space="preserve"> (</w:t>
            </w:r>
            <w:r w:rsidRPr="0055777E">
              <w:rPr>
                <w:rFonts w:ascii="Times New Roman" w:eastAsia="Times New Roman" w:hAnsi="Times New Roman" w:cs="Times New Roman"/>
                <w:color w:val="000000"/>
                <w:lang w:eastAsia="es-ES"/>
              </w:rPr>
              <w:t>pero es distinto del valor catastral</w:t>
            </w:r>
            <w:r w:rsidR="001A4A0F" w:rsidRPr="0055777E">
              <w:rPr>
                <w:rFonts w:ascii="Times New Roman" w:eastAsia="Times New Roman" w:hAnsi="Times New Roman" w:cs="Times New Roman"/>
                <w:color w:val="000000"/>
                <w:lang w:eastAsia="es-ES"/>
              </w:rPr>
              <w:t>)</w:t>
            </w:r>
            <w:r w:rsidR="001A4A0F" w:rsidRPr="0055777E">
              <w:rPr>
                <w:rFonts w:ascii="Times New Roman" w:eastAsia="Times New Roman" w:hAnsi="Times New Roman" w:cs="Times New Roman"/>
                <w:color w:val="000000"/>
                <w:sz w:val="20"/>
                <w:szCs w:val="20"/>
                <w:lang w:eastAsia="es-ES"/>
              </w:rPr>
              <w:t xml:space="preserve">, </w:t>
            </w:r>
          </w:p>
          <w:p w14:paraId="5928235D" w14:textId="78E5C894" w:rsidR="001A4A0F" w:rsidRPr="0055777E" w:rsidRDefault="001A4A0F" w:rsidP="0055777E">
            <w:pPr>
              <w:spacing w:before="20" w:after="40" w:line="180" w:lineRule="exact"/>
              <w:jc w:val="center"/>
              <w:rPr>
                <w:rFonts w:ascii="Times New Roman" w:eastAsia="Times New Roman" w:hAnsi="Times New Roman" w:cs="Times New Roman"/>
                <w:color w:val="000000"/>
                <w:sz w:val="24"/>
                <w:szCs w:val="24"/>
                <w:lang w:eastAsia="es-ES"/>
              </w:rPr>
            </w:pPr>
            <w:r w:rsidRPr="0055777E">
              <w:rPr>
                <w:rFonts w:ascii="Times New Roman" w:eastAsia="Times New Roman" w:hAnsi="Times New Roman" w:cs="Times New Roman"/>
                <w:color w:val="000000"/>
                <w:sz w:val="20"/>
                <w:szCs w:val="20"/>
                <w:lang w:eastAsia="es-ES"/>
              </w:rPr>
              <w:t>a partir de los precios comunicados por los fedatarios</w:t>
            </w:r>
            <w:r w:rsidR="00C2385B" w:rsidRPr="0055777E">
              <w:rPr>
                <w:rFonts w:ascii="Times New Roman" w:eastAsia="Times New Roman" w:hAnsi="Times New Roman" w:cs="Times New Roman"/>
                <w:color w:val="000000"/>
                <w:sz w:val="20"/>
                <w:szCs w:val="20"/>
                <w:lang w:eastAsia="es-ES"/>
              </w:rPr>
              <w:t>.</w:t>
            </w:r>
            <w:r w:rsidR="0055777E" w:rsidRPr="0055777E">
              <w:rPr>
                <w:rFonts w:ascii="Times New Roman" w:eastAsia="Times New Roman" w:hAnsi="Times New Roman" w:cs="Times New Roman"/>
                <w:color w:val="000000"/>
                <w:sz w:val="20"/>
                <w:szCs w:val="20"/>
                <w:lang w:eastAsia="es-ES"/>
              </w:rPr>
              <w:t xml:space="preserve"> </w:t>
            </w:r>
            <w:r w:rsidR="00E46515" w:rsidRPr="0055777E">
              <w:rPr>
                <w:rFonts w:ascii="Times New Roman" w:eastAsia="Times New Roman" w:hAnsi="Times New Roman" w:cs="Times New Roman"/>
                <w:color w:val="000000"/>
                <w:sz w:val="20"/>
                <w:szCs w:val="20"/>
                <w:lang w:eastAsia="es-ES"/>
              </w:rPr>
              <w:t>A</w:t>
            </w:r>
            <w:r w:rsidRPr="0055777E">
              <w:rPr>
                <w:rFonts w:ascii="Times New Roman" w:eastAsia="Times New Roman" w:hAnsi="Times New Roman" w:cs="Times New Roman"/>
                <w:color w:val="000000"/>
                <w:sz w:val="20"/>
                <w:szCs w:val="20"/>
                <w:lang w:eastAsia="es-ES"/>
              </w:rPr>
              <w:t>ntes del 30 de octubre</w:t>
            </w:r>
            <w:r w:rsidR="00E46515" w:rsidRPr="0055777E">
              <w:rPr>
                <w:rFonts w:ascii="Times New Roman" w:eastAsia="Times New Roman" w:hAnsi="Times New Roman" w:cs="Times New Roman"/>
                <w:color w:val="000000"/>
                <w:sz w:val="20"/>
                <w:szCs w:val="20"/>
                <w:lang w:eastAsia="es-ES"/>
              </w:rPr>
              <w:t xml:space="preserve"> se publica</w:t>
            </w:r>
            <w:r w:rsidR="00D305D9" w:rsidRPr="0055777E">
              <w:rPr>
                <w:rFonts w:ascii="Times New Roman" w:eastAsia="Times New Roman" w:hAnsi="Times New Roman" w:cs="Times New Roman"/>
                <w:color w:val="000000"/>
                <w:sz w:val="20"/>
                <w:szCs w:val="20"/>
                <w:lang w:eastAsia="es-ES"/>
              </w:rPr>
              <w:t xml:space="preserve"> una Resolución con los elementos para</w:t>
            </w:r>
            <w:r w:rsidR="00C2385B" w:rsidRPr="0055777E">
              <w:rPr>
                <w:rFonts w:ascii="Times New Roman" w:eastAsia="Times New Roman" w:hAnsi="Times New Roman" w:cs="Times New Roman"/>
                <w:color w:val="000000"/>
                <w:sz w:val="20"/>
                <w:szCs w:val="20"/>
                <w:lang w:eastAsia="es-ES"/>
              </w:rPr>
              <w:t xml:space="preserve"> su determinación</w:t>
            </w:r>
            <w:r w:rsidR="00E46515" w:rsidRPr="0055777E">
              <w:rPr>
                <w:rFonts w:ascii="Times New Roman" w:eastAsia="Times New Roman" w:hAnsi="Times New Roman" w:cs="Times New Roman"/>
                <w:color w:val="000000"/>
                <w:sz w:val="20"/>
                <w:szCs w:val="20"/>
                <w:lang w:eastAsia="es-ES"/>
              </w:rPr>
              <w:t xml:space="preserve"> (y posibles alegaciones)</w:t>
            </w:r>
            <w:r w:rsidR="00C2385B" w:rsidRPr="0055777E">
              <w:rPr>
                <w:rFonts w:ascii="Times New Roman" w:eastAsia="Times New Roman" w:hAnsi="Times New Roman" w:cs="Times New Roman"/>
                <w:color w:val="000000"/>
                <w:sz w:val="20"/>
                <w:szCs w:val="20"/>
                <w:lang w:eastAsia="es-ES"/>
              </w:rPr>
              <w:t>;</w:t>
            </w:r>
            <w:r w:rsidR="00C2385B" w:rsidRPr="0055777E">
              <w:rPr>
                <w:rFonts w:ascii="Times New Roman" w:hAnsi="Times New Roman" w:cs="Times New Roman"/>
                <w:color w:val="000000"/>
                <w:sz w:val="20"/>
                <w:szCs w:val="20"/>
              </w:rPr>
              <w:t xml:space="preserve"> y antes del 20 de diciembre</w:t>
            </w:r>
            <w:r w:rsidR="00E73174">
              <w:rPr>
                <w:rFonts w:ascii="Times New Roman" w:hAnsi="Times New Roman" w:cs="Times New Roman"/>
                <w:color w:val="000000"/>
                <w:sz w:val="20"/>
                <w:szCs w:val="20"/>
              </w:rPr>
              <w:t>,</w:t>
            </w:r>
            <w:r w:rsidR="00C2385B" w:rsidRPr="0055777E">
              <w:rPr>
                <w:rFonts w:ascii="Times New Roman" w:hAnsi="Times New Roman" w:cs="Times New Roman"/>
                <w:color w:val="000000"/>
                <w:sz w:val="20"/>
                <w:szCs w:val="20"/>
              </w:rPr>
              <w:t xml:space="preserve"> los valores anuales</w:t>
            </w:r>
            <w:r w:rsidR="00C2385B" w:rsidRPr="0055777E">
              <w:rPr>
                <w:rFonts w:ascii="Times New Roman" w:eastAsia="Times New Roman" w:hAnsi="Times New Roman" w:cs="Times New Roman"/>
                <w:color w:val="000000"/>
                <w:sz w:val="20"/>
                <w:szCs w:val="20"/>
                <w:lang w:eastAsia="es-ES"/>
              </w:rPr>
              <w:t xml:space="preserve"> </w:t>
            </w:r>
            <w:r w:rsidR="00C2385B" w:rsidRPr="0055777E">
              <w:rPr>
                <w:rFonts w:ascii="Times New Roman" w:hAnsi="Times New Roman" w:cs="Times New Roman"/>
                <w:color w:val="000000"/>
                <w:sz w:val="20"/>
                <w:szCs w:val="20"/>
              </w:rPr>
              <w:t>(</w:t>
            </w:r>
            <w:hyperlink r:id="rId13" w:anchor="df" w:history="1">
              <w:r w:rsidR="00C2385B" w:rsidRPr="0055777E">
                <w:rPr>
                  <w:rStyle w:val="Hipervnculo"/>
                  <w:rFonts w:ascii="Times New Roman" w:eastAsia="Times New Roman" w:hAnsi="Times New Roman" w:cs="Times New Roman"/>
                  <w:sz w:val="20"/>
                  <w:szCs w:val="20"/>
                  <w:lang w:eastAsia="es-ES"/>
                </w:rPr>
                <w:t>d. f. 3ª LCI</w:t>
              </w:r>
            </w:hyperlink>
            <w:r w:rsidR="00C2385B" w:rsidRPr="0055777E">
              <w:rPr>
                <w:rFonts w:ascii="Times New Roman" w:eastAsia="Times New Roman" w:hAnsi="Times New Roman" w:cs="Times New Roman"/>
                <w:color w:val="000000"/>
                <w:sz w:val="20"/>
                <w:szCs w:val="20"/>
                <w:lang w:eastAsia="es-ES"/>
              </w:rPr>
              <w:t>)</w:t>
            </w:r>
          </w:p>
        </w:tc>
      </w:tr>
      <w:tr w:rsidR="001C16F7" w:rsidRPr="000E48AA" w14:paraId="29090AF7" w14:textId="77777777" w:rsidTr="00755EE9">
        <w:trPr>
          <w:trHeight w:val="313"/>
          <w:jc w:val="center"/>
        </w:trPr>
        <w:tc>
          <w:tcPr>
            <w:tcW w:w="1798" w:type="dxa"/>
            <w:vMerge/>
            <w:tcBorders>
              <w:left w:val="single" w:sz="18" w:space="0" w:color="auto"/>
              <w:right w:val="single" w:sz="18" w:space="0" w:color="auto"/>
            </w:tcBorders>
            <w:shd w:val="clear" w:color="auto" w:fill="FFFFFF"/>
            <w:vAlign w:val="center"/>
          </w:tcPr>
          <w:p w14:paraId="2C63D38F" w14:textId="77777777" w:rsidR="001C16F7" w:rsidRDefault="001C16F7" w:rsidP="00995A71">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6" w:space="0" w:color="auto"/>
              <w:left w:val="single" w:sz="18" w:space="0" w:color="auto"/>
              <w:bottom w:val="single" w:sz="6" w:space="0" w:color="auto"/>
              <w:right w:val="single" w:sz="18" w:space="0" w:color="auto"/>
            </w:tcBorders>
            <w:shd w:val="clear" w:color="auto" w:fill="FFFFFF"/>
            <w:vAlign w:val="center"/>
          </w:tcPr>
          <w:p w14:paraId="0414B24E" w14:textId="489D3411" w:rsidR="001C16F7" w:rsidRPr="00BE26A5" w:rsidRDefault="00AF08F0" w:rsidP="00AF08F0">
            <w:pPr>
              <w:spacing w:before="20" w:after="20" w:line="240" w:lineRule="exact"/>
              <w:jc w:val="center"/>
              <w:rPr>
                <w:rFonts w:ascii="Times New Roman" w:hAnsi="Times New Roman" w:cs="Times New Roman"/>
                <w:spacing w:val="6"/>
                <w:sz w:val="24"/>
                <w:szCs w:val="24"/>
              </w:rPr>
            </w:pPr>
            <w:r>
              <w:rPr>
                <w:rFonts w:ascii="Times New Roman" w:eastAsia="Times New Roman" w:hAnsi="Times New Roman" w:cs="Times New Roman"/>
                <w:color w:val="000000"/>
                <w:lang w:eastAsia="es-ES"/>
              </w:rPr>
              <w:t>Se obtiene</w:t>
            </w:r>
            <w:r w:rsidR="001C16F7" w:rsidRPr="00AF08F0">
              <w:rPr>
                <w:rFonts w:ascii="Times New Roman" w:eastAsia="Times New Roman" w:hAnsi="Times New Roman" w:cs="Times New Roman"/>
                <w:color w:val="000000"/>
                <w:lang w:eastAsia="es-ES"/>
              </w:rPr>
              <w:t xml:space="preserve"> </w:t>
            </w:r>
            <w:r>
              <w:rPr>
                <w:rFonts w:ascii="Times New Roman" w:eastAsia="Times New Roman" w:hAnsi="Times New Roman" w:cs="Times New Roman"/>
                <w:color w:val="000000"/>
                <w:lang w:eastAsia="es-ES"/>
              </w:rPr>
              <w:t>con</w:t>
            </w:r>
            <w:r w:rsidR="001C16F7" w:rsidRPr="00AF08F0">
              <w:rPr>
                <w:rFonts w:ascii="Times New Roman" w:eastAsia="Times New Roman" w:hAnsi="Times New Roman" w:cs="Times New Roman"/>
                <w:color w:val="000000"/>
                <w:lang w:eastAsia="es-ES"/>
              </w:rPr>
              <w:t xml:space="preserve"> la referencia catastral en la </w:t>
            </w:r>
            <w:hyperlink r:id="rId14" w:history="1">
              <w:r w:rsidR="001C16F7" w:rsidRPr="00AF08F0">
                <w:rPr>
                  <w:rStyle w:val="Hipervnculo"/>
                  <w:rFonts w:ascii="Times New Roman" w:eastAsia="Times New Roman" w:hAnsi="Times New Roman" w:cs="Times New Roman"/>
                  <w:lang w:eastAsia="es-ES"/>
                </w:rPr>
                <w:t>sede electrónica del Catastro</w:t>
              </w:r>
            </w:hyperlink>
          </w:p>
        </w:tc>
      </w:tr>
      <w:tr w:rsidR="001C16F7" w:rsidRPr="000E48AA" w14:paraId="5B4118F5" w14:textId="77777777" w:rsidTr="00755EE9">
        <w:trPr>
          <w:trHeight w:val="313"/>
          <w:jc w:val="center"/>
        </w:trPr>
        <w:tc>
          <w:tcPr>
            <w:tcW w:w="1798" w:type="dxa"/>
            <w:vMerge/>
            <w:tcBorders>
              <w:left w:val="single" w:sz="18" w:space="0" w:color="auto"/>
              <w:right w:val="single" w:sz="18" w:space="0" w:color="auto"/>
            </w:tcBorders>
            <w:shd w:val="clear" w:color="auto" w:fill="FFFFFF"/>
            <w:vAlign w:val="center"/>
          </w:tcPr>
          <w:p w14:paraId="5AF67B26" w14:textId="77777777" w:rsidR="001C16F7" w:rsidRDefault="001C16F7" w:rsidP="00995A71">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6" w:space="0" w:color="auto"/>
              <w:left w:val="single" w:sz="18" w:space="0" w:color="auto"/>
              <w:bottom w:val="single" w:sz="6" w:space="0" w:color="auto"/>
              <w:right w:val="single" w:sz="18" w:space="0" w:color="auto"/>
            </w:tcBorders>
            <w:shd w:val="clear" w:color="auto" w:fill="FFFFFF"/>
            <w:vAlign w:val="center"/>
          </w:tcPr>
          <w:p w14:paraId="3CDF3D57" w14:textId="49EFF238" w:rsidR="001C16F7" w:rsidRPr="00FD40BC" w:rsidRDefault="007A7DFA" w:rsidP="00FD40BC">
            <w:pPr>
              <w:spacing w:before="20" w:after="20" w:line="220" w:lineRule="exact"/>
              <w:jc w:val="center"/>
              <w:rPr>
                <w:rFonts w:ascii="Times New Roman" w:hAnsi="Times New Roman" w:cs="Times New Roman"/>
                <w:spacing w:val="6"/>
              </w:rPr>
            </w:pPr>
            <w:r>
              <w:rPr>
                <w:rFonts w:ascii="Times New Roman" w:eastAsia="Times New Roman" w:hAnsi="Times New Roman" w:cs="Times New Roman"/>
                <w:color w:val="000000"/>
                <w:lang w:eastAsia="es-ES"/>
              </w:rPr>
              <w:t>En su defecto</w:t>
            </w:r>
            <w:r w:rsidR="001C16F7" w:rsidRPr="00FD40BC">
              <w:rPr>
                <w:rFonts w:ascii="Times New Roman" w:eastAsia="Times New Roman" w:hAnsi="Times New Roman" w:cs="Times New Roman"/>
                <w:color w:val="000000"/>
                <w:lang w:eastAsia="es-ES"/>
              </w:rPr>
              <w:t>, se estará al valor de mercado</w:t>
            </w:r>
          </w:p>
        </w:tc>
      </w:tr>
      <w:tr w:rsidR="001C16F7" w:rsidRPr="000E48AA" w14:paraId="30E9DBB1" w14:textId="77777777" w:rsidTr="00755EE9">
        <w:trPr>
          <w:trHeight w:val="313"/>
          <w:jc w:val="center"/>
        </w:trPr>
        <w:tc>
          <w:tcPr>
            <w:tcW w:w="1798" w:type="dxa"/>
            <w:vMerge/>
            <w:tcBorders>
              <w:left w:val="single" w:sz="18" w:space="0" w:color="auto"/>
              <w:right w:val="single" w:sz="18" w:space="0" w:color="auto"/>
            </w:tcBorders>
            <w:shd w:val="clear" w:color="auto" w:fill="FFFFFF"/>
            <w:vAlign w:val="center"/>
          </w:tcPr>
          <w:p w14:paraId="6B674D7C" w14:textId="77777777" w:rsidR="001C16F7" w:rsidRDefault="001C16F7" w:rsidP="00995A71">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6" w:space="0" w:color="auto"/>
              <w:left w:val="single" w:sz="18" w:space="0" w:color="auto"/>
              <w:bottom w:val="single" w:sz="8" w:space="0" w:color="auto"/>
              <w:right w:val="single" w:sz="18" w:space="0" w:color="auto"/>
            </w:tcBorders>
            <w:shd w:val="clear" w:color="auto" w:fill="FFFFFF"/>
            <w:vAlign w:val="center"/>
          </w:tcPr>
          <w:p w14:paraId="7514901F" w14:textId="77777777" w:rsidR="001C16F7" w:rsidRPr="00FD40BC" w:rsidRDefault="001C16F7" w:rsidP="00FD40BC">
            <w:pPr>
              <w:spacing w:before="20" w:after="60" w:line="220" w:lineRule="exact"/>
              <w:jc w:val="center"/>
              <w:rPr>
                <w:rFonts w:ascii="Times New Roman" w:hAnsi="Times New Roman" w:cs="Times New Roman"/>
                <w:spacing w:val="6"/>
              </w:rPr>
            </w:pPr>
            <w:r w:rsidRPr="00FD40BC">
              <w:rPr>
                <w:rFonts w:ascii="Times New Roman" w:eastAsia="Times New Roman" w:hAnsi="Times New Roman" w:cs="Times New Roman"/>
                <w:color w:val="000000"/>
                <w:lang w:eastAsia="es-ES"/>
              </w:rPr>
              <w:t xml:space="preserve">Prevalece siempre el valor declarado si es superior </w:t>
            </w:r>
          </w:p>
        </w:tc>
      </w:tr>
      <w:tr w:rsidR="001C16F7" w:rsidRPr="000E48AA" w14:paraId="1430E79C" w14:textId="77777777" w:rsidTr="007A7DFA">
        <w:trPr>
          <w:trHeight w:val="94"/>
          <w:jc w:val="center"/>
        </w:trPr>
        <w:tc>
          <w:tcPr>
            <w:tcW w:w="1798" w:type="dxa"/>
            <w:vMerge/>
            <w:tcBorders>
              <w:left w:val="single" w:sz="18" w:space="0" w:color="auto"/>
              <w:right w:val="single" w:sz="18" w:space="0" w:color="auto"/>
            </w:tcBorders>
            <w:shd w:val="clear" w:color="auto" w:fill="FFFFFF"/>
            <w:vAlign w:val="center"/>
          </w:tcPr>
          <w:p w14:paraId="091B25DD" w14:textId="77777777" w:rsidR="001C16F7" w:rsidRDefault="001C16F7" w:rsidP="00995A71">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6" w:space="0" w:color="auto"/>
              <w:left w:val="single" w:sz="18" w:space="0" w:color="auto"/>
              <w:bottom w:val="single" w:sz="8" w:space="0" w:color="auto"/>
              <w:right w:val="single" w:sz="18" w:space="0" w:color="auto"/>
            </w:tcBorders>
            <w:shd w:val="clear" w:color="auto" w:fill="FFFFFF"/>
            <w:vAlign w:val="center"/>
          </w:tcPr>
          <w:p w14:paraId="718847A1" w14:textId="1CA04EDC" w:rsidR="001C16F7" w:rsidRPr="00FD40BC" w:rsidRDefault="001C16F7" w:rsidP="00FD40BC">
            <w:pPr>
              <w:spacing w:before="20" w:after="60" w:line="220" w:lineRule="exact"/>
              <w:jc w:val="center"/>
              <w:rPr>
                <w:rFonts w:ascii="Times New Roman" w:eastAsia="Times New Roman" w:hAnsi="Times New Roman" w:cs="Times New Roman"/>
                <w:color w:val="000000"/>
                <w:lang w:eastAsia="es-ES"/>
              </w:rPr>
            </w:pPr>
            <w:r w:rsidRPr="00FD40BC">
              <w:rPr>
                <w:rFonts w:ascii="Times New Roman" w:eastAsia="Times New Roman" w:hAnsi="Times New Roman" w:cs="Times New Roman"/>
                <w:color w:val="000000"/>
                <w:lang w:eastAsia="es-ES"/>
              </w:rPr>
              <w:t xml:space="preserve">No se aplica en </w:t>
            </w:r>
            <w:r w:rsidR="00AC1642" w:rsidRPr="00FD40BC">
              <w:rPr>
                <w:rFonts w:ascii="Times New Roman" w:eastAsia="Times New Roman" w:hAnsi="Times New Roman" w:cs="Times New Roman"/>
                <w:color w:val="000000"/>
                <w:lang w:eastAsia="es-ES"/>
              </w:rPr>
              <w:t xml:space="preserve">Navarra y </w:t>
            </w:r>
            <w:r w:rsidRPr="00FD40BC">
              <w:rPr>
                <w:rFonts w:ascii="Times New Roman" w:eastAsia="Times New Roman" w:hAnsi="Times New Roman" w:cs="Times New Roman"/>
                <w:color w:val="000000"/>
                <w:lang w:eastAsia="es-ES"/>
              </w:rPr>
              <w:t>el País Vasco</w:t>
            </w:r>
          </w:p>
        </w:tc>
      </w:tr>
      <w:tr w:rsidR="005D74FE" w:rsidRPr="000E48AA" w14:paraId="7753A30F" w14:textId="77777777" w:rsidTr="007F1AC9">
        <w:trPr>
          <w:trHeight w:val="670"/>
          <w:jc w:val="center"/>
        </w:trPr>
        <w:tc>
          <w:tcPr>
            <w:tcW w:w="1798" w:type="dxa"/>
            <w:vMerge w:val="restart"/>
            <w:tcBorders>
              <w:top w:val="single" w:sz="12" w:space="0" w:color="auto"/>
              <w:left w:val="single" w:sz="18" w:space="0" w:color="auto"/>
              <w:right w:val="single" w:sz="18" w:space="0" w:color="auto"/>
            </w:tcBorders>
            <w:shd w:val="clear" w:color="auto" w:fill="E7E6E6"/>
            <w:vAlign w:val="center"/>
          </w:tcPr>
          <w:p w14:paraId="169DD478" w14:textId="77777777" w:rsidR="005D74FE" w:rsidRDefault="005D74FE" w:rsidP="00196178">
            <w:pPr>
              <w:spacing w:before="60" w:after="6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Impugnación</w:t>
            </w:r>
          </w:p>
        </w:tc>
        <w:tc>
          <w:tcPr>
            <w:tcW w:w="6660" w:type="dxa"/>
            <w:tcBorders>
              <w:top w:val="single" w:sz="12" w:space="0" w:color="auto"/>
              <w:left w:val="single" w:sz="18" w:space="0" w:color="auto"/>
              <w:bottom w:val="single" w:sz="6" w:space="0" w:color="auto"/>
              <w:right w:val="single" w:sz="18" w:space="0" w:color="auto"/>
            </w:tcBorders>
            <w:shd w:val="clear" w:color="auto" w:fill="E7E6E6"/>
            <w:vAlign w:val="center"/>
          </w:tcPr>
          <w:p w14:paraId="3FECB7CA" w14:textId="77777777" w:rsidR="005D74FE" w:rsidRPr="000347FF" w:rsidRDefault="005D74FE" w:rsidP="000347FF">
            <w:pPr>
              <w:spacing w:before="60" w:after="20" w:line="200" w:lineRule="exact"/>
              <w:jc w:val="center"/>
              <w:rPr>
                <w:rFonts w:ascii="Times New Roman" w:eastAsia="Times New Roman" w:hAnsi="Times New Roman" w:cs="Times New Roman"/>
                <w:b/>
                <w:lang w:eastAsia="es-ES"/>
              </w:rPr>
            </w:pPr>
            <w:r w:rsidRPr="000347FF">
              <w:rPr>
                <w:rFonts w:ascii="Times New Roman" w:eastAsia="Times New Roman" w:hAnsi="Times New Roman" w:cs="Times New Roman"/>
                <w:color w:val="000000"/>
                <w:lang w:eastAsia="es-ES"/>
              </w:rPr>
              <w:t xml:space="preserve">Según los </w:t>
            </w:r>
            <w:hyperlink r:id="rId15" w:anchor="a10" w:history="1">
              <w:r w:rsidRPr="000347FF">
                <w:rPr>
                  <w:rStyle w:val="Hipervnculo"/>
                  <w:rFonts w:ascii="Times New Roman" w:eastAsia="Times New Roman" w:hAnsi="Times New Roman" w:cs="Times New Roman"/>
                  <w:lang w:eastAsia="es-ES"/>
                </w:rPr>
                <w:t>arts. 10-3 del TRITPAJD</w:t>
              </w:r>
            </w:hyperlink>
            <w:r w:rsidRPr="000347FF">
              <w:rPr>
                <w:rFonts w:ascii="Times New Roman" w:eastAsia="Times New Roman" w:hAnsi="Times New Roman" w:cs="Times New Roman"/>
                <w:color w:val="000000"/>
                <w:lang w:eastAsia="es-ES"/>
              </w:rPr>
              <w:t xml:space="preserve"> y </w:t>
            </w:r>
            <w:hyperlink r:id="rId16" w:anchor="a9" w:history="1">
              <w:r w:rsidRPr="000347FF">
                <w:rPr>
                  <w:rStyle w:val="Hipervnculo"/>
                  <w:rFonts w:ascii="Times New Roman" w:eastAsia="Times New Roman" w:hAnsi="Times New Roman" w:cs="Times New Roman"/>
                  <w:lang w:eastAsia="es-ES"/>
                </w:rPr>
                <w:t>9-4 de la LISD</w:t>
              </w:r>
            </w:hyperlink>
            <w:r w:rsidRPr="000347FF">
              <w:rPr>
                <w:rFonts w:ascii="Times New Roman" w:eastAsia="Times New Roman" w:hAnsi="Times New Roman" w:cs="Times New Roman"/>
                <w:color w:val="000000"/>
                <w:lang w:eastAsia="es-ES"/>
              </w:rPr>
              <w:t>, el valor de referencia sólo podrá ser impugnado cuando se recurra la liquidación o se solicite la rectificación de la autoliquidación</w:t>
            </w:r>
          </w:p>
        </w:tc>
      </w:tr>
      <w:tr w:rsidR="005D74FE" w:rsidRPr="000E48AA" w14:paraId="78656BC5" w14:textId="77777777" w:rsidTr="00E92607">
        <w:trPr>
          <w:trHeight w:val="808"/>
          <w:jc w:val="center"/>
        </w:trPr>
        <w:tc>
          <w:tcPr>
            <w:tcW w:w="1798" w:type="dxa"/>
            <w:vMerge/>
            <w:tcBorders>
              <w:left w:val="single" w:sz="18" w:space="0" w:color="auto"/>
              <w:right w:val="single" w:sz="18" w:space="0" w:color="auto"/>
            </w:tcBorders>
            <w:shd w:val="clear" w:color="auto" w:fill="E7E6E6"/>
            <w:vAlign w:val="center"/>
          </w:tcPr>
          <w:p w14:paraId="5EA37F1E" w14:textId="77777777" w:rsidR="005D74FE" w:rsidRDefault="005D74FE" w:rsidP="00196178">
            <w:pPr>
              <w:spacing w:before="60" w:after="60" w:line="220" w:lineRule="exact"/>
              <w:jc w:val="center"/>
              <w:rPr>
                <w:rFonts w:ascii="Times New Roman" w:eastAsia="Times New Roman" w:hAnsi="Times New Roman" w:cs="Times New Roman"/>
                <w:b/>
                <w:sz w:val="24"/>
                <w:szCs w:val="24"/>
                <w:lang w:eastAsia="es-ES"/>
              </w:rPr>
            </w:pPr>
          </w:p>
        </w:tc>
        <w:tc>
          <w:tcPr>
            <w:tcW w:w="6660" w:type="dxa"/>
            <w:tcBorders>
              <w:top w:val="single" w:sz="6" w:space="0" w:color="auto"/>
              <w:left w:val="single" w:sz="18" w:space="0" w:color="auto"/>
              <w:bottom w:val="single" w:sz="8" w:space="0" w:color="auto"/>
              <w:right w:val="single" w:sz="18" w:space="0" w:color="auto"/>
            </w:tcBorders>
            <w:shd w:val="clear" w:color="auto" w:fill="E7E6E6"/>
            <w:vAlign w:val="center"/>
          </w:tcPr>
          <w:p w14:paraId="415087BA" w14:textId="1E3FAA3C" w:rsidR="005D74FE" w:rsidRPr="003557C1" w:rsidRDefault="005D74FE" w:rsidP="003557C1">
            <w:pPr>
              <w:spacing w:before="20" w:after="0" w:line="160" w:lineRule="exact"/>
              <w:jc w:val="both"/>
              <w:rPr>
                <w:rFonts w:ascii="Times New Roman" w:eastAsia="Times New Roman" w:hAnsi="Times New Roman" w:cs="Times New Roman"/>
                <w:color w:val="000000"/>
                <w:sz w:val="16"/>
                <w:szCs w:val="16"/>
                <w:lang w:eastAsia="es-ES"/>
              </w:rPr>
            </w:pPr>
            <w:r w:rsidRPr="003557C1">
              <w:rPr>
                <w:rFonts w:ascii="Times New Roman" w:eastAsia="Times New Roman" w:hAnsi="Times New Roman" w:cs="Times New Roman"/>
                <w:color w:val="000000"/>
                <w:sz w:val="16"/>
                <w:szCs w:val="16"/>
                <w:lang w:eastAsia="es-ES"/>
              </w:rPr>
              <w:t xml:space="preserve">Sin embargo, la sede electrónica del Catastro </w:t>
            </w:r>
            <w:r w:rsidR="003557C1">
              <w:rPr>
                <w:rFonts w:ascii="Times New Roman" w:eastAsia="Times New Roman" w:hAnsi="Times New Roman" w:cs="Times New Roman"/>
                <w:color w:val="000000"/>
                <w:sz w:val="16"/>
                <w:szCs w:val="16"/>
                <w:lang w:eastAsia="es-ES"/>
              </w:rPr>
              <w:t>parece abrir</w:t>
            </w:r>
            <w:r w:rsidRPr="003557C1">
              <w:rPr>
                <w:rFonts w:ascii="Times New Roman" w:eastAsia="Times New Roman" w:hAnsi="Times New Roman" w:cs="Times New Roman"/>
                <w:color w:val="000000"/>
                <w:sz w:val="16"/>
                <w:szCs w:val="16"/>
                <w:lang w:eastAsia="es-ES"/>
              </w:rPr>
              <w:t xml:space="preserve"> la posibilidad de que el titular catastral pueda conseguir la modificación del valor de referencia sin necesidad de transmisión (i</w:t>
            </w:r>
            <w:r w:rsidRPr="003557C1">
              <w:rPr>
                <w:rFonts w:ascii="Times New Roman" w:hAnsi="Times New Roman" w:cs="Times New Roman"/>
                <w:color w:val="000000"/>
                <w:sz w:val="16"/>
                <w:szCs w:val="16"/>
              </w:rPr>
              <w:t>ntentado una vez, se remitieron simplemente a la anterior posibilidad de recurso posterior a la liquidación o solicitud de rectificación de la autoliquidación)</w:t>
            </w:r>
            <w:r w:rsidRPr="003557C1">
              <w:rPr>
                <w:rFonts w:ascii="Times New Roman" w:eastAsia="Times New Roman" w:hAnsi="Times New Roman" w:cs="Times New Roman"/>
                <w:color w:val="000000"/>
                <w:sz w:val="16"/>
                <w:szCs w:val="16"/>
                <w:lang w:eastAsia="es-ES"/>
              </w:rPr>
              <w:t>:</w:t>
            </w:r>
          </w:p>
          <w:p w14:paraId="4973BEA4" w14:textId="77777777" w:rsidR="005D74FE" w:rsidRPr="00436DEC" w:rsidRDefault="005D74FE" w:rsidP="003557C1">
            <w:pPr>
              <w:spacing w:after="40" w:line="160" w:lineRule="exact"/>
              <w:jc w:val="both"/>
              <w:rPr>
                <w:rFonts w:ascii="Times New Roman" w:eastAsia="Times New Roman" w:hAnsi="Times New Roman" w:cs="Times New Roman"/>
                <w:color w:val="000000"/>
                <w:sz w:val="16"/>
                <w:szCs w:val="16"/>
                <w:lang w:eastAsia="es-ES"/>
              </w:rPr>
            </w:pPr>
            <w:hyperlink r:id="rId17" w:history="1">
              <w:r w:rsidRPr="003557C1">
                <w:rPr>
                  <w:rStyle w:val="Hipervnculo"/>
                  <w:rFonts w:ascii="Times New Roman" w:eastAsia="Times New Roman" w:hAnsi="Times New Roman" w:cs="Times New Roman"/>
                  <w:sz w:val="16"/>
                  <w:szCs w:val="16"/>
                  <w:lang w:eastAsia="es-ES"/>
                </w:rPr>
                <w:t>TRAMITES ANTE CATASTRO/declaraciones, recursos, solicitudes.../Presentar ESCRITOS SOBRE EL VALOR DE REFERENCIA DE UN INMUEBLE DEL QUE SE ES TITULAR</w:t>
              </w:r>
            </w:hyperlink>
          </w:p>
        </w:tc>
      </w:tr>
      <w:tr w:rsidR="005D74FE" w:rsidRPr="000E48AA" w14:paraId="0CB37FC3" w14:textId="77777777" w:rsidTr="005D74FE">
        <w:trPr>
          <w:trHeight w:val="232"/>
          <w:jc w:val="center"/>
        </w:trPr>
        <w:tc>
          <w:tcPr>
            <w:tcW w:w="1798" w:type="dxa"/>
            <w:vMerge/>
            <w:tcBorders>
              <w:left w:val="single" w:sz="18" w:space="0" w:color="auto"/>
              <w:right w:val="single" w:sz="18" w:space="0" w:color="auto"/>
            </w:tcBorders>
            <w:shd w:val="clear" w:color="auto" w:fill="E7E6E6"/>
            <w:vAlign w:val="center"/>
          </w:tcPr>
          <w:p w14:paraId="10CA0482" w14:textId="77777777" w:rsidR="005D74FE" w:rsidRDefault="005D74FE" w:rsidP="00196178">
            <w:pPr>
              <w:spacing w:before="60" w:after="60" w:line="22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E7E6E6"/>
            <w:vAlign w:val="center"/>
          </w:tcPr>
          <w:p w14:paraId="311BA5C7" w14:textId="65F36F7F" w:rsidR="005D74FE" w:rsidRPr="000347FF" w:rsidRDefault="005D74FE" w:rsidP="00FD40BC">
            <w:pPr>
              <w:spacing w:before="20" w:after="40" w:line="200" w:lineRule="exact"/>
              <w:jc w:val="both"/>
              <w:rPr>
                <w:rFonts w:ascii="Times New Roman" w:eastAsia="Times New Roman" w:hAnsi="Times New Roman" w:cs="Times New Roman"/>
                <w:color w:val="000000"/>
                <w:lang w:eastAsia="es-ES"/>
              </w:rPr>
            </w:pPr>
            <w:r w:rsidRPr="000347FF">
              <w:rPr>
                <w:rFonts w:ascii="Times New Roman" w:eastAsia="Times New Roman" w:hAnsi="Times New Roman" w:cs="Times New Roman"/>
                <w:color w:val="000000"/>
                <w:lang w:eastAsia="es-ES"/>
              </w:rPr>
              <w:t xml:space="preserve">Muy ilustrativo es </w:t>
            </w:r>
            <w:hyperlink r:id="rId18" w:history="1">
              <w:r w:rsidRPr="000347FF">
                <w:rPr>
                  <w:rStyle w:val="Hipervnculo"/>
                  <w:rFonts w:ascii="Times New Roman" w:eastAsia="Times New Roman" w:hAnsi="Times New Roman" w:cs="Times New Roman"/>
                  <w:i/>
                  <w:iCs/>
                  <w:lang w:eastAsia="es-ES"/>
                </w:rPr>
                <w:t>Cómo recurrir el valor de referencia catastral: todo lo que necesitas saber</w:t>
              </w:r>
            </w:hyperlink>
            <w:r w:rsidRPr="000347FF">
              <w:rPr>
                <w:rFonts w:ascii="Times New Roman" w:eastAsia="Times New Roman" w:hAnsi="Times New Roman" w:cs="Times New Roman"/>
                <w:i/>
                <w:iCs/>
                <w:color w:val="000000"/>
                <w:lang w:eastAsia="es-ES"/>
              </w:rPr>
              <w:t xml:space="preserve"> </w:t>
            </w:r>
            <w:r w:rsidRPr="000347FF">
              <w:rPr>
                <w:rFonts w:ascii="Times New Roman" w:eastAsia="Times New Roman" w:hAnsi="Times New Roman" w:cs="Times New Roman"/>
                <w:color w:val="000000"/>
                <w:lang w:eastAsia="es-ES"/>
              </w:rPr>
              <w:t xml:space="preserve">de </w:t>
            </w:r>
            <w:hyperlink r:id="rId19" w:history="1">
              <w:r w:rsidRPr="000347FF">
                <w:rPr>
                  <w:rStyle w:val="Hipervnculo"/>
                  <w:rFonts w:ascii="Times New Roman" w:eastAsia="Times New Roman" w:hAnsi="Times New Roman" w:cs="Times New Roman"/>
                  <w:lang w:eastAsia="es-ES"/>
                </w:rPr>
                <w:t>José María SALCEDO</w:t>
              </w:r>
            </w:hyperlink>
          </w:p>
        </w:tc>
      </w:tr>
      <w:tr w:rsidR="005D74FE" w:rsidRPr="000E48AA" w14:paraId="354F893C" w14:textId="77777777" w:rsidTr="00436DEC">
        <w:trPr>
          <w:trHeight w:val="231"/>
          <w:jc w:val="center"/>
        </w:trPr>
        <w:tc>
          <w:tcPr>
            <w:tcW w:w="1798" w:type="dxa"/>
            <w:vMerge/>
            <w:tcBorders>
              <w:left w:val="single" w:sz="18" w:space="0" w:color="auto"/>
              <w:bottom w:val="single" w:sz="12" w:space="0" w:color="auto"/>
              <w:right w:val="single" w:sz="18" w:space="0" w:color="auto"/>
            </w:tcBorders>
            <w:shd w:val="clear" w:color="auto" w:fill="E7E6E6"/>
            <w:vAlign w:val="center"/>
          </w:tcPr>
          <w:p w14:paraId="5057856D" w14:textId="77777777" w:rsidR="005D74FE" w:rsidRDefault="005D74FE" w:rsidP="00196178">
            <w:pPr>
              <w:spacing w:before="60" w:after="60" w:line="22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2" w:space="0" w:color="auto"/>
              <w:right w:val="single" w:sz="18" w:space="0" w:color="auto"/>
            </w:tcBorders>
            <w:shd w:val="clear" w:color="auto" w:fill="E7E6E6"/>
            <w:vAlign w:val="center"/>
          </w:tcPr>
          <w:p w14:paraId="7A02C2D3" w14:textId="77777777" w:rsidR="0042583A" w:rsidRDefault="00782C21" w:rsidP="00AF08F0">
            <w:pPr>
              <w:spacing w:before="20" w:after="0" w:line="180" w:lineRule="exact"/>
              <w:jc w:val="both"/>
              <w:rPr>
                <w:rFonts w:ascii="Times New Roman" w:eastAsia="Times New Roman" w:hAnsi="Times New Roman" w:cs="Times New Roman"/>
                <w:color w:val="000000"/>
                <w:sz w:val="20"/>
                <w:szCs w:val="20"/>
                <w:lang w:eastAsia="es-ES"/>
              </w:rPr>
            </w:pPr>
            <w:r w:rsidRPr="00782C21">
              <w:rPr>
                <w:rFonts w:ascii="Times New Roman" w:eastAsia="Times New Roman" w:hAnsi="Times New Roman" w:cs="Times New Roman"/>
                <w:color w:val="000000"/>
                <w:sz w:val="20"/>
                <w:szCs w:val="20"/>
                <w:lang w:eastAsia="es-ES"/>
              </w:rPr>
              <w:t xml:space="preserve">La </w:t>
            </w:r>
            <w:hyperlink r:id="rId20" w:history="1">
              <w:r w:rsidRPr="00602C34">
                <w:rPr>
                  <w:rStyle w:val="Hipervnculo"/>
                  <w:rFonts w:ascii="Times New Roman" w:eastAsia="Times New Roman" w:hAnsi="Times New Roman" w:cs="Times New Roman"/>
                  <w:sz w:val="20"/>
                  <w:szCs w:val="20"/>
                  <w:lang w:eastAsia="es-ES"/>
                </w:rPr>
                <w:t>STSJ de</w:t>
              </w:r>
              <w:r w:rsidR="00602C34" w:rsidRPr="00602C34">
                <w:rPr>
                  <w:rStyle w:val="Hipervnculo"/>
                  <w:rFonts w:ascii="Times New Roman" w:eastAsia="Times New Roman" w:hAnsi="Times New Roman" w:cs="Times New Roman"/>
                  <w:sz w:val="20"/>
                  <w:szCs w:val="20"/>
                  <w:lang w:eastAsia="es-ES"/>
                </w:rPr>
                <w:t xml:space="preserve"> Valencia de</w:t>
              </w:r>
              <w:r w:rsidRPr="00602C34">
                <w:rPr>
                  <w:rStyle w:val="Hipervnculo"/>
                  <w:rFonts w:ascii="Times New Roman" w:eastAsia="Times New Roman" w:hAnsi="Times New Roman" w:cs="Times New Roman"/>
                  <w:sz w:val="20"/>
                  <w:szCs w:val="20"/>
                  <w:lang w:eastAsia="es-ES"/>
                </w:rPr>
                <w:t xml:space="preserve"> 10 de julio de 2024</w:t>
              </w:r>
            </w:hyperlink>
            <w:r w:rsidRPr="00782C21">
              <w:rPr>
                <w:rFonts w:ascii="Times New Roman" w:eastAsia="Times New Roman" w:hAnsi="Times New Roman" w:cs="Times New Roman"/>
                <w:color w:val="000000"/>
                <w:sz w:val="20"/>
                <w:szCs w:val="20"/>
                <w:lang w:eastAsia="es-ES"/>
              </w:rPr>
              <w:t xml:space="preserve"> entiende que, comprobado por la Administración el valor declarado por aplicación del valor de referencia e impugnada tal comprobación por el contribuyente, se produce la suspensión de la liquidación si éste se reservó la tasación pericial contradictoria</w:t>
            </w:r>
            <w:r w:rsidR="0042583A">
              <w:rPr>
                <w:rFonts w:ascii="Times New Roman" w:eastAsia="Times New Roman" w:hAnsi="Times New Roman" w:cs="Times New Roman"/>
                <w:color w:val="000000"/>
                <w:sz w:val="20"/>
                <w:szCs w:val="20"/>
                <w:lang w:eastAsia="es-ES"/>
              </w:rPr>
              <w:t>.</w:t>
            </w:r>
          </w:p>
          <w:p w14:paraId="48A677D2" w14:textId="43E06AFC" w:rsidR="005D74FE" w:rsidRPr="00782C21" w:rsidRDefault="0042583A" w:rsidP="00AF08F0">
            <w:pPr>
              <w:spacing w:after="40" w:line="180" w:lineRule="exact"/>
              <w:jc w:val="both"/>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 xml:space="preserve">Por el contrario, la </w:t>
            </w:r>
            <w:hyperlink r:id="rId21" w:history="1">
              <w:r w:rsidRPr="0042583A">
                <w:rPr>
                  <w:rStyle w:val="Hipervnculo"/>
                  <w:rFonts w:ascii="Times New Roman" w:eastAsia="Times New Roman" w:hAnsi="Times New Roman" w:cs="Times New Roman"/>
                  <w:sz w:val="20"/>
                  <w:szCs w:val="20"/>
                  <w:lang w:eastAsia="es-ES"/>
                </w:rPr>
                <w:t>STSJ de Valencia de 11 de junio de 2024</w:t>
              </w:r>
            </w:hyperlink>
            <w:r>
              <w:rPr>
                <w:rFonts w:ascii="Times New Roman" w:eastAsia="Times New Roman" w:hAnsi="Times New Roman" w:cs="Times New Roman"/>
                <w:color w:val="000000"/>
                <w:sz w:val="20"/>
                <w:szCs w:val="20"/>
                <w:lang w:eastAsia="es-ES"/>
              </w:rPr>
              <w:t xml:space="preserve"> entiende que, en la aplicación del valor de referencia, la tasación pericial contradictoria no suspende la liquidación, porque no hay tal comprobación de valores.</w:t>
            </w:r>
          </w:p>
        </w:tc>
      </w:tr>
      <w:tr w:rsidR="00F10C4A" w:rsidRPr="000E48AA" w14:paraId="2D11E4E4" w14:textId="77777777" w:rsidTr="00F10C4A">
        <w:trPr>
          <w:trHeight w:val="382"/>
          <w:jc w:val="center"/>
        </w:trPr>
        <w:tc>
          <w:tcPr>
            <w:tcW w:w="1798" w:type="dxa"/>
            <w:vMerge w:val="restart"/>
            <w:tcBorders>
              <w:top w:val="single" w:sz="12" w:space="0" w:color="auto"/>
              <w:left w:val="single" w:sz="18" w:space="0" w:color="auto"/>
              <w:right w:val="single" w:sz="18" w:space="0" w:color="auto"/>
            </w:tcBorders>
            <w:shd w:val="clear" w:color="auto" w:fill="auto"/>
            <w:vAlign w:val="center"/>
          </w:tcPr>
          <w:p w14:paraId="47195AB9" w14:textId="275D52E9" w:rsidR="00F10C4A" w:rsidRDefault="00F10C4A" w:rsidP="00196178">
            <w:pPr>
              <w:spacing w:before="60" w:after="6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Sanción</w:t>
            </w:r>
          </w:p>
        </w:tc>
        <w:tc>
          <w:tcPr>
            <w:tcW w:w="6660" w:type="dxa"/>
            <w:tcBorders>
              <w:top w:val="single" w:sz="12" w:space="0" w:color="auto"/>
              <w:left w:val="single" w:sz="18" w:space="0" w:color="auto"/>
              <w:bottom w:val="single" w:sz="6" w:space="0" w:color="auto"/>
              <w:right w:val="single" w:sz="18" w:space="0" w:color="auto"/>
            </w:tcBorders>
            <w:shd w:val="clear" w:color="auto" w:fill="auto"/>
            <w:vAlign w:val="center"/>
          </w:tcPr>
          <w:p w14:paraId="32BA3862" w14:textId="75A7245D" w:rsidR="00F10C4A" w:rsidRPr="00FD40BC" w:rsidRDefault="00F10C4A" w:rsidP="003557C1">
            <w:pPr>
              <w:spacing w:before="40" w:after="20" w:line="200" w:lineRule="exact"/>
              <w:jc w:val="center"/>
              <w:rPr>
                <w:rFonts w:ascii="Times New Roman" w:eastAsia="Times New Roman" w:hAnsi="Times New Roman" w:cs="Times New Roman"/>
                <w:color w:val="000000"/>
                <w:lang w:eastAsia="es-ES"/>
              </w:rPr>
            </w:pPr>
            <w:r w:rsidRPr="00FD40BC">
              <w:rPr>
                <w:rFonts w:ascii="Times New Roman" w:eastAsia="Times New Roman" w:hAnsi="Times New Roman" w:cs="Times New Roman"/>
                <w:color w:val="000000"/>
                <w:lang w:eastAsia="es-ES"/>
              </w:rPr>
              <w:t>Como era de esperar, ya están empezando a sancionar (al menos en Asturias) a quien autoliquide por debajo del valor de referencia</w:t>
            </w:r>
          </w:p>
        </w:tc>
      </w:tr>
      <w:tr w:rsidR="00F10C4A" w:rsidRPr="000E48AA" w14:paraId="2B01F864" w14:textId="77777777" w:rsidTr="00F10C4A">
        <w:trPr>
          <w:trHeight w:val="382"/>
          <w:jc w:val="center"/>
        </w:trPr>
        <w:tc>
          <w:tcPr>
            <w:tcW w:w="1798" w:type="dxa"/>
            <w:vMerge/>
            <w:tcBorders>
              <w:left w:val="single" w:sz="18" w:space="0" w:color="auto"/>
              <w:right w:val="single" w:sz="18" w:space="0" w:color="auto"/>
            </w:tcBorders>
            <w:shd w:val="clear" w:color="auto" w:fill="auto"/>
            <w:vAlign w:val="center"/>
          </w:tcPr>
          <w:p w14:paraId="300B5E47" w14:textId="77777777" w:rsidR="00F10C4A" w:rsidRDefault="00F10C4A" w:rsidP="00196178">
            <w:pPr>
              <w:spacing w:before="60" w:after="60" w:line="220" w:lineRule="exact"/>
              <w:jc w:val="center"/>
              <w:rPr>
                <w:rFonts w:ascii="Times New Roman" w:eastAsia="Times New Roman" w:hAnsi="Times New Roman" w:cs="Times New Roman"/>
                <w:b/>
                <w:sz w:val="24"/>
                <w:szCs w:val="24"/>
                <w:lang w:eastAsia="es-ES"/>
              </w:rPr>
            </w:pPr>
          </w:p>
        </w:tc>
        <w:tc>
          <w:tcPr>
            <w:tcW w:w="6660" w:type="dxa"/>
            <w:tcBorders>
              <w:top w:val="single" w:sz="6" w:space="0" w:color="auto"/>
              <w:left w:val="single" w:sz="18" w:space="0" w:color="auto"/>
              <w:bottom w:val="single" w:sz="8" w:space="0" w:color="auto"/>
              <w:right w:val="single" w:sz="18" w:space="0" w:color="auto"/>
            </w:tcBorders>
            <w:shd w:val="clear" w:color="auto" w:fill="auto"/>
            <w:vAlign w:val="center"/>
          </w:tcPr>
          <w:p w14:paraId="3F2C8BF4" w14:textId="282B0D94" w:rsidR="00F10C4A" w:rsidRPr="00E73044" w:rsidRDefault="00F10C4A" w:rsidP="0018565C">
            <w:pPr>
              <w:spacing w:before="20" w:after="40" w:line="180" w:lineRule="exact"/>
              <w:jc w:val="center"/>
              <w:rPr>
                <w:rFonts w:ascii="Times New Roman" w:eastAsia="Times New Roman" w:hAnsi="Times New Roman" w:cs="Times New Roman"/>
                <w:color w:val="000000"/>
                <w:sz w:val="24"/>
                <w:szCs w:val="24"/>
                <w:lang w:eastAsia="es-ES"/>
              </w:rPr>
            </w:pPr>
            <w:r w:rsidRPr="00E73044">
              <w:rPr>
                <w:rFonts w:ascii="Times New Roman" w:eastAsia="Times New Roman" w:hAnsi="Times New Roman" w:cs="Times New Roman"/>
                <w:color w:val="000000"/>
                <w:sz w:val="20"/>
                <w:szCs w:val="20"/>
                <w:lang w:eastAsia="es-ES"/>
              </w:rPr>
              <w:t>En rigor, ello sólo debería ser así cuando dicha autoliquidación por debajo del valor de referencia no vaya acompañada de la impugnación del mismo</w:t>
            </w:r>
          </w:p>
        </w:tc>
      </w:tr>
      <w:tr w:rsidR="00FD40BC" w:rsidRPr="000E48AA" w14:paraId="4361C66A" w14:textId="77777777" w:rsidTr="00C267AC">
        <w:trPr>
          <w:trHeight w:val="163"/>
          <w:jc w:val="center"/>
        </w:trPr>
        <w:tc>
          <w:tcPr>
            <w:tcW w:w="1798" w:type="dxa"/>
            <w:vMerge w:val="restart"/>
            <w:tcBorders>
              <w:top w:val="single" w:sz="12" w:space="0" w:color="auto"/>
              <w:left w:val="single" w:sz="18" w:space="0" w:color="auto"/>
              <w:right w:val="single" w:sz="18" w:space="0" w:color="auto"/>
            </w:tcBorders>
            <w:shd w:val="clear" w:color="auto" w:fill="E7E6E6" w:themeFill="background2"/>
            <w:vAlign w:val="center"/>
          </w:tcPr>
          <w:p w14:paraId="65E46EBB" w14:textId="77777777" w:rsidR="00FD40BC" w:rsidRDefault="00FD40BC" w:rsidP="00631F96">
            <w:pPr>
              <w:spacing w:before="60" w:after="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Sin valor</w:t>
            </w:r>
          </w:p>
          <w:p w14:paraId="0778FA0B" w14:textId="09C2CB84" w:rsidR="00FD40BC" w:rsidRPr="000E48AA" w:rsidRDefault="00FD40BC" w:rsidP="00631F96">
            <w:pPr>
              <w:spacing w:after="6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 de referencia determinado</w:t>
            </w:r>
          </w:p>
        </w:tc>
        <w:tc>
          <w:tcPr>
            <w:tcW w:w="6660" w:type="dxa"/>
            <w:tcBorders>
              <w:top w:val="single" w:sz="12" w:space="0" w:color="auto"/>
              <w:left w:val="single" w:sz="18" w:space="0" w:color="auto"/>
              <w:bottom w:val="single" w:sz="8" w:space="0" w:color="auto"/>
              <w:right w:val="single" w:sz="18" w:space="0" w:color="auto"/>
            </w:tcBorders>
            <w:shd w:val="clear" w:color="auto" w:fill="E7E6E6" w:themeFill="background2"/>
            <w:vAlign w:val="center"/>
          </w:tcPr>
          <w:p w14:paraId="471D2002" w14:textId="77777777" w:rsidR="00FD40BC" w:rsidRPr="001E5A57" w:rsidRDefault="00FD40BC" w:rsidP="001E5A57">
            <w:pPr>
              <w:spacing w:before="60" w:after="20" w:line="200" w:lineRule="exact"/>
              <w:jc w:val="center"/>
              <w:rPr>
                <w:rFonts w:ascii="Times New Roman" w:eastAsia="Times New Roman" w:hAnsi="Times New Roman" w:cs="Times New Roman"/>
                <w:lang w:eastAsia="es-ES"/>
              </w:rPr>
            </w:pPr>
            <w:r w:rsidRPr="001E5A57">
              <w:rPr>
                <w:rFonts w:ascii="Times New Roman" w:eastAsia="Times New Roman" w:hAnsi="Times New Roman" w:cs="Times New Roman"/>
                <w:b/>
                <w:color w:val="000000"/>
                <w:lang w:eastAsia="es-ES"/>
              </w:rPr>
              <w:t>Cuando el valor de referencia no pueda ser certificado, sin perjuicio de la comprobación administrativa, se estará al valor de mercado si fuere superior al valor declarado</w:t>
            </w:r>
          </w:p>
        </w:tc>
      </w:tr>
      <w:tr w:rsidR="00FD40BC" w:rsidRPr="000E48AA" w14:paraId="7921C406" w14:textId="77777777" w:rsidTr="00FD40BC">
        <w:trPr>
          <w:trHeight w:val="557"/>
          <w:jc w:val="center"/>
        </w:trPr>
        <w:tc>
          <w:tcPr>
            <w:tcW w:w="1798" w:type="dxa"/>
            <w:vMerge/>
            <w:tcBorders>
              <w:left w:val="single" w:sz="18" w:space="0" w:color="auto"/>
              <w:right w:val="single" w:sz="18" w:space="0" w:color="auto"/>
            </w:tcBorders>
            <w:shd w:val="clear" w:color="auto" w:fill="E7E6E6" w:themeFill="background2"/>
            <w:vAlign w:val="center"/>
          </w:tcPr>
          <w:p w14:paraId="1905BA9C" w14:textId="77777777" w:rsidR="00FD40BC" w:rsidRDefault="00FD40BC" w:rsidP="000F15E6">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E7E6E6" w:themeFill="background2"/>
            <w:vAlign w:val="center"/>
          </w:tcPr>
          <w:p w14:paraId="0BD4ADF2" w14:textId="0AFCFCA4" w:rsidR="00FD40BC" w:rsidRPr="007E7FCE" w:rsidRDefault="00FD40BC" w:rsidP="00FD40BC">
            <w:pPr>
              <w:spacing w:before="40" w:after="40" w:line="180" w:lineRule="exact"/>
              <w:jc w:val="both"/>
              <w:rPr>
                <w:rFonts w:ascii="Times New Roman" w:eastAsia="Times New Roman" w:hAnsi="Times New Roman" w:cs="Times New Roman"/>
                <w:lang w:eastAsia="es-ES"/>
              </w:rPr>
            </w:pPr>
            <w:r w:rsidRPr="004700E6">
              <w:rPr>
                <w:rFonts w:ascii="Times New Roman" w:eastAsia="Times New Roman" w:hAnsi="Times New Roman" w:cs="Times New Roman"/>
                <w:color w:val="000000"/>
                <w:sz w:val="20"/>
                <w:szCs w:val="20"/>
                <w:lang w:eastAsia="es-ES"/>
              </w:rPr>
              <w:t xml:space="preserve">La eficacia que deba atribuirse entonces a las valoraciones mínimas ofrecidas por las Haciendas autonómicas será la misma que ha ido precisando el Tribunal Supremo para la situación anterior y que resume la </w:t>
            </w:r>
            <w:hyperlink r:id="rId22" w:history="1">
              <w:r w:rsidRPr="004700E6">
                <w:rPr>
                  <w:rStyle w:val="Hipervnculo"/>
                  <w:rFonts w:ascii="Times New Roman" w:eastAsia="Times New Roman" w:hAnsi="Times New Roman" w:cs="Times New Roman"/>
                  <w:sz w:val="20"/>
                  <w:szCs w:val="20"/>
                  <w:lang w:eastAsia="es-ES"/>
                </w:rPr>
                <w:t>STS de 21 de enero de 2021</w:t>
              </w:r>
            </w:hyperlink>
            <w:r w:rsidRPr="004700E6">
              <w:rPr>
                <w:rFonts w:ascii="Times New Roman" w:eastAsia="Times New Roman" w:hAnsi="Times New Roman" w:cs="Times New Roman"/>
                <w:color w:val="000000"/>
                <w:sz w:val="20"/>
                <w:szCs w:val="20"/>
                <w:lang w:eastAsia="es-ES"/>
              </w:rPr>
              <w:t>: [1] Que el perito de la Administración efectúe una comprobación directa y personal del bien que se valora, mediante su visita si es inmueble [2] Que si el contribuyente se somete a los valores presuntivos aprobados con carácter general por la Administración, no es posible efectuar una ulterior comprobación</w:t>
            </w:r>
            <w:r>
              <w:rPr>
                <w:rFonts w:ascii="Times New Roman" w:eastAsia="Times New Roman" w:hAnsi="Times New Roman" w:cs="Times New Roman"/>
                <w:color w:val="000000"/>
                <w:sz w:val="20"/>
                <w:szCs w:val="20"/>
                <w:lang w:eastAsia="es-ES"/>
              </w:rPr>
              <w:t>.</w:t>
            </w:r>
          </w:p>
        </w:tc>
      </w:tr>
      <w:tr w:rsidR="00FD40BC" w:rsidRPr="000E48AA" w14:paraId="401ECEF2" w14:textId="77777777" w:rsidTr="00C267AC">
        <w:trPr>
          <w:trHeight w:val="557"/>
          <w:jc w:val="center"/>
        </w:trPr>
        <w:tc>
          <w:tcPr>
            <w:tcW w:w="1798" w:type="dxa"/>
            <w:vMerge/>
            <w:tcBorders>
              <w:left w:val="single" w:sz="18" w:space="0" w:color="auto"/>
              <w:right w:val="single" w:sz="18" w:space="0" w:color="auto"/>
            </w:tcBorders>
            <w:shd w:val="clear" w:color="auto" w:fill="E7E6E6" w:themeFill="background2"/>
            <w:vAlign w:val="center"/>
          </w:tcPr>
          <w:p w14:paraId="09AB6E8F" w14:textId="77777777" w:rsidR="00FD40BC" w:rsidRDefault="00FD40BC" w:rsidP="000F15E6">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E7E6E6" w:themeFill="background2"/>
            <w:vAlign w:val="center"/>
          </w:tcPr>
          <w:p w14:paraId="10BD1016" w14:textId="5E222687" w:rsidR="00FD40BC" w:rsidRPr="00956142" w:rsidRDefault="001E5A57" w:rsidP="00A60410">
            <w:pPr>
              <w:spacing w:before="20" w:after="20" w:line="160" w:lineRule="exact"/>
              <w:jc w:val="both"/>
              <w:rPr>
                <w:rFonts w:ascii="Times New Roman" w:eastAsia="Times New Roman" w:hAnsi="Times New Roman" w:cs="Times New Roman"/>
                <w:color w:val="000000"/>
                <w:sz w:val="18"/>
                <w:szCs w:val="18"/>
                <w:lang w:eastAsia="es-ES"/>
              </w:rPr>
            </w:pPr>
            <w:r w:rsidRPr="00956142">
              <w:rPr>
                <w:rFonts w:ascii="Times New Roman" w:eastAsia="Times New Roman" w:hAnsi="Times New Roman" w:cs="Times New Roman"/>
                <w:color w:val="000000"/>
                <w:sz w:val="18"/>
                <w:szCs w:val="18"/>
                <w:lang w:eastAsia="es-ES"/>
              </w:rPr>
              <w:t xml:space="preserve">La </w:t>
            </w:r>
            <w:hyperlink r:id="rId23" w:history="1">
              <w:r w:rsidRPr="00956142">
                <w:rPr>
                  <w:rStyle w:val="Hipervnculo"/>
                  <w:rFonts w:ascii="Times New Roman" w:eastAsia="Times New Roman" w:hAnsi="Times New Roman" w:cs="Times New Roman"/>
                  <w:sz w:val="18"/>
                  <w:szCs w:val="18"/>
                  <w:lang w:eastAsia="es-ES"/>
                </w:rPr>
                <w:t>STS de 4 de diciembre de 2024</w:t>
              </w:r>
            </w:hyperlink>
            <w:r w:rsidR="003424ED" w:rsidRPr="00956142">
              <w:rPr>
                <w:rFonts w:ascii="Times New Roman" w:eastAsia="Times New Roman" w:hAnsi="Times New Roman" w:cs="Times New Roman"/>
                <w:color w:val="000000"/>
                <w:sz w:val="18"/>
                <w:szCs w:val="18"/>
                <w:lang w:eastAsia="es-ES"/>
              </w:rPr>
              <w:t xml:space="preserve"> ha entendido que la inmediata tasación hipotecaria superior al valor declarado es suficiente motivación de la liquidación complementaria</w:t>
            </w:r>
            <w:r w:rsidR="00A60410" w:rsidRPr="00956142">
              <w:rPr>
                <w:rFonts w:ascii="Times New Roman" w:eastAsia="Times New Roman" w:hAnsi="Times New Roman" w:cs="Times New Roman"/>
                <w:color w:val="000000"/>
                <w:sz w:val="18"/>
                <w:szCs w:val="18"/>
                <w:lang w:eastAsia="es-ES"/>
              </w:rPr>
              <w:t>, sin perjuicio de la posibilidad de impugnación</w:t>
            </w:r>
            <w:r w:rsidR="003424ED" w:rsidRPr="00956142">
              <w:rPr>
                <w:rFonts w:ascii="Times New Roman" w:eastAsia="Times New Roman" w:hAnsi="Times New Roman" w:cs="Times New Roman"/>
                <w:color w:val="000000"/>
                <w:sz w:val="18"/>
                <w:szCs w:val="18"/>
                <w:lang w:eastAsia="es-ES"/>
              </w:rPr>
              <w:t>. Parece que ello en defecto de valor de referencia (se trataba de un supuesto anterior) y</w:t>
            </w:r>
            <w:r w:rsidR="00A60410" w:rsidRPr="00956142">
              <w:rPr>
                <w:rFonts w:ascii="Times New Roman" w:eastAsia="Times New Roman" w:hAnsi="Times New Roman" w:cs="Times New Roman"/>
                <w:color w:val="000000"/>
                <w:sz w:val="18"/>
                <w:szCs w:val="18"/>
                <w:lang w:eastAsia="es-ES"/>
              </w:rPr>
              <w:t xml:space="preserve"> de valoración autonómica por coeficientes (se trataba de un gran centro comercial no subsumible en la categoría de local comercial).</w:t>
            </w:r>
          </w:p>
        </w:tc>
      </w:tr>
      <w:tr w:rsidR="00FD40BC" w:rsidRPr="000E48AA" w14:paraId="66E34658" w14:textId="77777777" w:rsidTr="008E7279">
        <w:trPr>
          <w:trHeight w:val="695"/>
          <w:jc w:val="center"/>
        </w:trPr>
        <w:tc>
          <w:tcPr>
            <w:tcW w:w="1798" w:type="dxa"/>
            <w:vMerge/>
            <w:tcBorders>
              <w:left w:val="single" w:sz="18" w:space="0" w:color="auto"/>
              <w:bottom w:val="single" w:sz="12" w:space="0" w:color="auto"/>
              <w:right w:val="single" w:sz="18" w:space="0" w:color="auto"/>
            </w:tcBorders>
            <w:shd w:val="clear" w:color="auto" w:fill="E7E6E6" w:themeFill="background2"/>
            <w:vAlign w:val="center"/>
          </w:tcPr>
          <w:p w14:paraId="1F6A1357" w14:textId="77777777" w:rsidR="00FD40BC" w:rsidRDefault="00FD40BC" w:rsidP="000F15E6">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2" w:space="0" w:color="auto"/>
              <w:right w:val="single" w:sz="18" w:space="0" w:color="auto"/>
            </w:tcBorders>
            <w:shd w:val="clear" w:color="auto" w:fill="E7E6E6" w:themeFill="background2"/>
            <w:vAlign w:val="center"/>
          </w:tcPr>
          <w:p w14:paraId="70E39BF7" w14:textId="3AC05299" w:rsidR="00FD40BC" w:rsidRPr="00E93BF3" w:rsidRDefault="00FD40BC" w:rsidP="003557C1">
            <w:pPr>
              <w:spacing w:before="20" w:after="60" w:line="180" w:lineRule="exact"/>
              <w:jc w:val="both"/>
              <w:rPr>
                <w:rFonts w:ascii="Times New Roman" w:eastAsia="Times New Roman" w:hAnsi="Times New Roman" w:cs="Times New Roman"/>
                <w:color w:val="000000"/>
                <w:sz w:val="20"/>
                <w:szCs w:val="20"/>
                <w:lang w:eastAsia="es-ES"/>
              </w:rPr>
            </w:pPr>
            <w:r w:rsidRPr="005F03A9">
              <w:rPr>
                <w:rFonts w:ascii="Times New Roman" w:eastAsia="Times New Roman" w:hAnsi="Times New Roman" w:cs="Times New Roman"/>
                <w:color w:val="000000"/>
                <w:sz w:val="20"/>
                <w:szCs w:val="20"/>
                <w:lang w:eastAsia="es-ES"/>
              </w:rPr>
              <w:t xml:space="preserve">Asturias no ha aprobado coeficientes desde 2019, sin que el </w:t>
            </w:r>
            <w:hyperlink r:id="rId24" w:history="1">
              <w:r w:rsidRPr="005F03A9">
                <w:rPr>
                  <w:rStyle w:val="Hipervnculo"/>
                  <w:rFonts w:ascii="Times New Roman" w:eastAsia="Times New Roman" w:hAnsi="Times New Roman" w:cs="Times New Roman"/>
                  <w:sz w:val="20"/>
                  <w:szCs w:val="20"/>
                  <w:lang w:val="es-ES_tradnl" w:eastAsia="es-ES"/>
                </w:rPr>
                <w:t>Decreto asturiano 121/2013</w:t>
              </w:r>
            </w:hyperlink>
            <w:r w:rsidRPr="005F03A9">
              <w:rPr>
                <w:rFonts w:ascii="Times New Roman" w:eastAsia="Times New Roman" w:hAnsi="Times New Roman" w:cs="Times New Roman"/>
                <w:color w:val="000000"/>
                <w:sz w:val="20"/>
                <w:szCs w:val="20"/>
                <w:lang w:eastAsia="es-ES"/>
              </w:rPr>
              <w:t xml:space="preserve"> permitiera entender prorrogados los anteriores, a diferencia de otras Comunidades Autónomas</w:t>
            </w:r>
            <w:r>
              <w:rPr>
                <w:rFonts w:ascii="Times New Roman" w:eastAsia="Times New Roman" w:hAnsi="Times New Roman" w:cs="Times New Roman"/>
                <w:color w:val="000000"/>
                <w:sz w:val="20"/>
                <w:szCs w:val="20"/>
                <w:lang w:eastAsia="es-ES"/>
              </w:rPr>
              <w:t xml:space="preserve"> (como Andalucía o Galicia). </w:t>
            </w:r>
            <w:r w:rsidRPr="005F03A9">
              <w:rPr>
                <w:rFonts w:ascii="Times New Roman" w:eastAsia="Times New Roman" w:hAnsi="Times New Roman" w:cs="Times New Roman"/>
                <w:color w:val="000000"/>
                <w:sz w:val="20"/>
                <w:szCs w:val="20"/>
                <w:lang w:eastAsia="es-ES"/>
              </w:rPr>
              <w:t xml:space="preserve">La sede electrónica de los </w:t>
            </w:r>
            <w:hyperlink r:id="rId25" w:history="1">
              <w:r w:rsidRPr="005F03A9">
                <w:rPr>
                  <w:rStyle w:val="Hipervnculo"/>
                  <w:rFonts w:ascii="Times New Roman" w:eastAsia="Times New Roman" w:hAnsi="Times New Roman" w:cs="Times New Roman"/>
                  <w:sz w:val="20"/>
                  <w:szCs w:val="20"/>
                  <w:lang w:eastAsia="es-ES"/>
                </w:rPr>
                <w:t>Servicios Tributarios del Principado</w:t>
              </w:r>
            </w:hyperlink>
            <w:r w:rsidRPr="005F03A9">
              <w:rPr>
                <w:rFonts w:ascii="Times New Roman" w:eastAsia="Times New Roman" w:hAnsi="Times New Roman" w:cs="Times New Roman"/>
                <w:color w:val="000000"/>
                <w:sz w:val="20"/>
                <w:szCs w:val="20"/>
                <w:lang w:eastAsia="es-ES"/>
              </w:rPr>
              <w:t>, decía que no se encontraban disponibles, aunque en 2021 ofreció unos coeficientes orientativos. Desde 2022, en defecto de valor de referencia, sigue ofreciendo esos mismos coeficientes orientativos, con la advertencia de que ello no condiciona una posible comprobación singularizada.</w:t>
            </w:r>
          </w:p>
        </w:tc>
      </w:tr>
      <w:tr w:rsidR="007F1AC9" w:rsidRPr="000E48AA" w14:paraId="7A35BE84" w14:textId="77777777" w:rsidTr="00D8243D">
        <w:trPr>
          <w:trHeight w:val="695"/>
          <w:jc w:val="center"/>
        </w:trPr>
        <w:tc>
          <w:tcPr>
            <w:tcW w:w="1798" w:type="dxa"/>
            <w:tcBorders>
              <w:top w:val="single" w:sz="12" w:space="0" w:color="auto"/>
              <w:left w:val="single" w:sz="18" w:space="0" w:color="auto"/>
              <w:bottom w:val="single" w:sz="18" w:space="0" w:color="auto"/>
              <w:right w:val="single" w:sz="18" w:space="0" w:color="auto"/>
            </w:tcBorders>
            <w:shd w:val="clear" w:color="auto" w:fill="auto"/>
            <w:vAlign w:val="center"/>
          </w:tcPr>
          <w:p w14:paraId="21AEAAC5" w14:textId="6A4E63CF" w:rsidR="007F1AC9" w:rsidRPr="002B4BFA" w:rsidRDefault="007F1AC9" w:rsidP="00631F96">
            <w:pPr>
              <w:spacing w:before="60" w:after="60" w:line="200" w:lineRule="exact"/>
              <w:jc w:val="center"/>
              <w:rPr>
                <w:rFonts w:ascii="Times New Roman" w:eastAsia="Times New Roman" w:hAnsi="Times New Roman" w:cs="Times New Roman"/>
                <w:b/>
                <w:sz w:val="20"/>
                <w:szCs w:val="20"/>
                <w:lang w:eastAsia="es-ES"/>
              </w:rPr>
            </w:pPr>
            <w:r w:rsidRPr="002B4BFA">
              <w:rPr>
                <w:rFonts w:ascii="Times New Roman" w:eastAsia="Times New Roman" w:hAnsi="Times New Roman" w:cs="Times New Roman"/>
                <w:b/>
                <w:sz w:val="20"/>
                <w:szCs w:val="20"/>
                <w:lang w:eastAsia="es-ES"/>
              </w:rPr>
              <w:t>Con valor</w:t>
            </w:r>
            <w:r w:rsidR="002B4BFA" w:rsidRPr="002B4BFA">
              <w:rPr>
                <w:rFonts w:ascii="Times New Roman" w:eastAsia="Times New Roman" w:hAnsi="Times New Roman" w:cs="Times New Roman"/>
                <w:b/>
                <w:sz w:val="20"/>
                <w:szCs w:val="20"/>
                <w:lang w:eastAsia="es-ES"/>
              </w:rPr>
              <w:t xml:space="preserve"> </w:t>
            </w:r>
            <w:r w:rsidRPr="002B4BFA">
              <w:rPr>
                <w:rFonts w:ascii="Times New Roman" w:eastAsia="Times New Roman" w:hAnsi="Times New Roman" w:cs="Times New Roman"/>
                <w:b/>
                <w:sz w:val="20"/>
                <w:szCs w:val="20"/>
                <w:lang w:eastAsia="es-ES"/>
              </w:rPr>
              <w:t>de referencia</w:t>
            </w:r>
            <w:r w:rsidR="002B4BFA" w:rsidRPr="002B4BFA">
              <w:rPr>
                <w:rFonts w:ascii="Times New Roman" w:eastAsia="Times New Roman" w:hAnsi="Times New Roman" w:cs="Times New Roman"/>
                <w:b/>
                <w:sz w:val="20"/>
                <w:szCs w:val="20"/>
                <w:lang w:eastAsia="es-ES"/>
              </w:rPr>
              <w:t xml:space="preserve"> determinado pero no aplicable</w:t>
            </w:r>
          </w:p>
        </w:tc>
        <w:tc>
          <w:tcPr>
            <w:tcW w:w="6660" w:type="dxa"/>
            <w:tcBorders>
              <w:top w:val="single" w:sz="12" w:space="0" w:color="auto"/>
              <w:left w:val="single" w:sz="18" w:space="0" w:color="auto"/>
              <w:bottom w:val="single" w:sz="18" w:space="0" w:color="auto"/>
              <w:right w:val="single" w:sz="18" w:space="0" w:color="auto"/>
            </w:tcBorders>
            <w:shd w:val="clear" w:color="auto" w:fill="auto"/>
            <w:vAlign w:val="center"/>
          </w:tcPr>
          <w:p w14:paraId="44D9FFC3" w14:textId="7F7BF6AC" w:rsidR="007F1AC9" w:rsidRPr="00E93BF3" w:rsidRDefault="00D07A8B" w:rsidP="00BC2F61">
            <w:pPr>
              <w:spacing w:before="40" w:after="60" w:line="180" w:lineRule="exact"/>
              <w:jc w:val="both"/>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 xml:space="preserve">La </w:t>
            </w:r>
            <w:hyperlink r:id="rId26" w:history="1">
              <w:r w:rsidRPr="00BC2F61">
                <w:rPr>
                  <w:rStyle w:val="Hipervnculo"/>
                  <w:rFonts w:ascii="Times New Roman" w:eastAsia="Times New Roman" w:hAnsi="Times New Roman" w:cs="Times New Roman"/>
                  <w:sz w:val="20"/>
                  <w:szCs w:val="20"/>
                  <w:lang w:eastAsia="es-ES"/>
                </w:rPr>
                <w:t>Resolución de la D</w:t>
              </w:r>
              <w:r w:rsidR="00C37E85" w:rsidRPr="00BC2F61">
                <w:rPr>
                  <w:rStyle w:val="Hipervnculo"/>
                  <w:rFonts w:ascii="Times New Roman" w:eastAsia="Times New Roman" w:hAnsi="Times New Roman" w:cs="Times New Roman"/>
                  <w:sz w:val="20"/>
                  <w:szCs w:val="20"/>
                  <w:lang w:eastAsia="es-ES"/>
                </w:rPr>
                <w:t>G</w:t>
              </w:r>
              <w:r w:rsidRPr="00BC2F61">
                <w:rPr>
                  <w:rStyle w:val="Hipervnculo"/>
                  <w:rFonts w:ascii="Times New Roman" w:eastAsia="Times New Roman" w:hAnsi="Times New Roman" w:cs="Times New Roman"/>
                  <w:sz w:val="20"/>
                  <w:szCs w:val="20"/>
                  <w:lang w:eastAsia="es-ES"/>
                </w:rPr>
                <w:t xml:space="preserve"> del Catastro que cada año publica su sede electrónica</w:t>
              </w:r>
            </w:hyperlink>
            <w:r>
              <w:rPr>
                <w:rFonts w:ascii="Times New Roman" w:eastAsia="Times New Roman" w:hAnsi="Times New Roman" w:cs="Times New Roman"/>
                <w:color w:val="000000"/>
                <w:sz w:val="20"/>
                <w:szCs w:val="20"/>
                <w:lang w:eastAsia="es-ES"/>
              </w:rPr>
              <w:t xml:space="preserve"> </w:t>
            </w:r>
            <w:r w:rsidR="002B4BFA">
              <w:rPr>
                <w:rFonts w:ascii="Times New Roman" w:eastAsia="Times New Roman" w:hAnsi="Times New Roman" w:cs="Times New Roman"/>
                <w:color w:val="000000"/>
                <w:sz w:val="20"/>
                <w:szCs w:val="20"/>
                <w:lang w:eastAsia="es-ES"/>
              </w:rPr>
              <w:t>excluye la aplicación del valor de referencia determinado</w:t>
            </w:r>
            <w:r w:rsidR="00150FA7">
              <w:rPr>
                <w:rFonts w:ascii="Times New Roman" w:eastAsia="Times New Roman" w:hAnsi="Times New Roman" w:cs="Times New Roman"/>
                <w:color w:val="000000"/>
                <w:sz w:val="20"/>
                <w:szCs w:val="20"/>
                <w:lang w:eastAsia="es-ES"/>
              </w:rPr>
              <w:t xml:space="preserve"> </w:t>
            </w:r>
            <w:r w:rsidR="00C37E85">
              <w:rPr>
                <w:rFonts w:ascii="Times New Roman" w:eastAsia="Times New Roman" w:hAnsi="Times New Roman" w:cs="Times New Roman"/>
                <w:color w:val="000000"/>
                <w:sz w:val="20"/>
                <w:szCs w:val="20"/>
                <w:lang w:eastAsia="es-ES"/>
              </w:rPr>
              <w:t>en varios</w:t>
            </w:r>
            <w:r w:rsidR="00150FA7">
              <w:rPr>
                <w:rFonts w:ascii="Times New Roman" w:eastAsia="Times New Roman" w:hAnsi="Times New Roman" w:cs="Times New Roman"/>
                <w:color w:val="000000"/>
                <w:sz w:val="20"/>
                <w:szCs w:val="20"/>
                <w:lang w:eastAsia="es-ES"/>
              </w:rPr>
              <w:t xml:space="preserve"> supuestos</w:t>
            </w:r>
            <w:r w:rsidR="00BC2F61">
              <w:rPr>
                <w:rFonts w:ascii="Times New Roman" w:eastAsia="Times New Roman" w:hAnsi="Times New Roman" w:cs="Times New Roman"/>
                <w:color w:val="000000"/>
                <w:sz w:val="20"/>
                <w:szCs w:val="20"/>
                <w:lang w:eastAsia="es-ES"/>
              </w:rPr>
              <w:t xml:space="preserve">: construcción no vinculada al uso residencial, suelo pendiente de desarrollo urbanístico, edificación en estado ruinoso, </w:t>
            </w:r>
            <w:r w:rsidR="00C37E85">
              <w:rPr>
                <w:rFonts w:ascii="Times New Roman" w:eastAsia="Times New Roman" w:hAnsi="Times New Roman" w:cs="Times New Roman"/>
                <w:color w:val="000000"/>
                <w:sz w:val="20"/>
                <w:szCs w:val="20"/>
                <w:lang w:eastAsia="es-ES"/>
              </w:rPr>
              <w:t>precio limitado administrativamente, inmueble okupado, zona catastrófica</w:t>
            </w:r>
            <w:r w:rsidR="002C20D2">
              <w:rPr>
                <w:rFonts w:ascii="Times New Roman" w:eastAsia="Times New Roman" w:hAnsi="Times New Roman" w:cs="Times New Roman"/>
                <w:color w:val="000000"/>
                <w:sz w:val="20"/>
                <w:szCs w:val="20"/>
                <w:lang w:eastAsia="es-ES"/>
              </w:rPr>
              <w:t xml:space="preserve">, </w:t>
            </w:r>
            <w:r w:rsidR="00BC2F61">
              <w:rPr>
                <w:rFonts w:ascii="Times New Roman" w:eastAsia="Times New Roman" w:hAnsi="Times New Roman" w:cs="Times New Roman"/>
                <w:color w:val="000000"/>
                <w:sz w:val="20"/>
                <w:szCs w:val="20"/>
                <w:lang w:eastAsia="es-ES"/>
              </w:rPr>
              <w:t>subasta pública</w:t>
            </w:r>
            <w:r w:rsidR="002C20D2">
              <w:rPr>
                <w:rFonts w:ascii="Times New Roman" w:eastAsia="Times New Roman" w:hAnsi="Times New Roman" w:cs="Times New Roman"/>
                <w:color w:val="000000"/>
                <w:sz w:val="20"/>
                <w:szCs w:val="20"/>
                <w:lang w:eastAsia="es-ES"/>
              </w:rPr>
              <w:t>.</w:t>
            </w:r>
          </w:p>
        </w:tc>
      </w:tr>
    </w:tbl>
    <w:p w14:paraId="380E824C" w14:textId="77777777" w:rsidR="00A87DBD" w:rsidRDefault="00A87DBD">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660"/>
      </w:tblGrid>
      <w:tr w:rsidR="007907D4" w:rsidRPr="000E48AA" w14:paraId="687BE0F4" w14:textId="77777777" w:rsidTr="0059406A">
        <w:trPr>
          <w:trHeight w:val="673"/>
          <w:jc w:val="center"/>
        </w:trPr>
        <w:tc>
          <w:tcPr>
            <w:tcW w:w="1798" w:type="dxa"/>
            <w:tcBorders>
              <w:top w:val="single" w:sz="18" w:space="0" w:color="FFFFFF"/>
              <w:left w:val="single" w:sz="18" w:space="0" w:color="FFFFFF"/>
              <w:right w:val="single" w:sz="18" w:space="0" w:color="auto"/>
            </w:tcBorders>
            <w:shd w:val="clear" w:color="auto" w:fill="FFFFFF"/>
          </w:tcPr>
          <w:p w14:paraId="1FA97FC5" w14:textId="77777777" w:rsidR="007907D4" w:rsidRDefault="007907D4" w:rsidP="007907D4">
            <w:pPr>
              <w:spacing w:after="0" w:line="240" w:lineRule="auto"/>
              <w:jc w:val="center"/>
              <w:rPr>
                <w:rFonts w:ascii="Times New Roman" w:eastAsia="Times New Roman" w:hAnsi="Times New Roman" w:cs="Times New Roman"/>
                <w:sz w:val="24"/>
                <w:szCs w:val="24"/>
                <w:lang w:eastAsia="es-ES"/>
              </w:rPr>
            </w:pPr>
          </w:p>
          <w:p w14:paraId="44975A18" w14:textId="77777777" w:rsidR="007907D4" w:rsidRDefault="007907D4" w:rsidP="007907D4">
            <w:pPr>
              <w:spacing w:after="0" w:line="240" w:lineRule="auto"/>
              <w:jc w:val="center"/>
              <w:rPr>
                <w:rFonts w:ascii="Times New Roman" w:eastAsia="Times New Roman" w:hAnsi="Times New Roman" w:cs="Times New Roman"/>
                <w:sz w:val="24"/>
                <w:szCs w:val="24"/>
                <w:lang w:eastAsia="es-ES"/>
              </w:rPr>
            </w:pPr>
          </w:p>
          <w:p w14:paraId="7D682707" w14:textId="77777777" w:rsidR="007907D4" w:rsidRPr="000E48AA" w:rsidRDefault="007907D4" w:rsidP="007907D4">
            <w:pPr>
              <w:spacing w:after="0" w:line="240" w:lineRule="auto"/>
              <w:jc w:val="center"/>
              <w:rPr>
                <w:rFonts w:ascii="Times New Roman" w:eastAsia="Times New Roman" w:hAnsi="Times New Roman" w:cs="Times New Roman"/>
                <w:sz w:val="24"/>
                <w:szCs w:val="24"/>
                <w:lang w:eastAsia="es-ES"/>
              </w:rPr>
            </w:pPr>
          </w:p>
        </w:tc>
        <w:tc>
          <w:tcPr>
            <w:tcW w:w="6660" w:type="dxa"/>
            <w:tcBorders>
              <w:top w:val="single" w:sz="18" w:space="0" w:color="auto"/>
              <w:left w:val="single" w:sz="18" w:space="0" w:color="auto"/>
              <w:bottom w:val="single" w:sz="2" w:space="0" w:color="auto"/>
              <w:right w:val="single" w:sz="18" w:space="0" w:color="auto"/>
            </w:tcBorders>
            <w:shd w:val="clear" w:color="auto" w:fill="CCCCCC"/>
            <w:vAlign w:val="center"/>
          </w:tcPr>
          <w:p w14:paraId="1FAE2F5B" w14:textId="77777777" w:rsidR="007907D4" w:rsidRPr="007D4111" w:rsidRDefault="00691813" w:rsidP="007907D4">
            <w:pPr>
              <w:spacing w:before="60" w:after="40" w:line="220" w:lineRule="exact"/>
              <w:jc w:val="center"/>
              <w:rPr>
                <w:rFonts w:ascii="Times New Roman" w:eastAsia="Times New Roman" w:hAnsi="Times New Roman" w:cs="Times New Roman"/>
                <w:b/>
                <w:color w:val="000000"/>
                <w:sz w:val="26"/>
                <w:szCs w:val="26"/>
                <w:lang w:eastAsia="es-ES"/>
              </w:rPr>
            </w:pPr>
            <w:r>
              <w:rPr>
                <w:rFonts w:ascii="Times New Roman" w:eastAsia="Times New Roman" w:hAnsi="Times New Roman" w:cs="Times New Roman"/>
                <w:b/>
                <w:color w:val="000000"/>
                <w:sz w:val="26"/>
                <w:szCs w:val="26"/>
                <w:lang w:eastAsia="es-ES"/>
              </w:rPr>
              <w:t>2</w:t>
            </w:r>
            <w:r w:rsidR="007907D4" w:rsidRPr="007D4111">
              <w:rPr>
                <w:rFonts w:ascii="Times New Roman" w:eastAsia="Times New Roman" w:hAnsi="Times New Roman" w:cs="Times New Roman"/>
                <w:b/>
                <w:color w:val="000000"/>
                <w:sz w:val="26"/>
                <w:szCs w:val="26"/>
                <w:lang w:eastAsia="es-ES"/>
              </w:rPr>
              <w:t xml:space="preserve">. </w:t>
            </w:r>
            <w:bookmarkStart w:id="2" w:name="AFECTADOS"/>
            <w:bookmarkEnd w:id="2"/>
            <w:r w:rsidR="007907D4" w:rsidRPr="007D4111">
              <w:rPr>
                <w:rFonts w:ascii="Times New Roman" w:eastAsia="Times New Roman" w:hAnsi="Times New Roman" w:cs="Times New Roman"/>
                <w:b/>
                <w:color w:val="000000"/>
                <w:sz w:val="26"/>
                <w:szCs w:val="26"/>
                <w:lang w:eastAsia="es-ES"/>
              </w:rPr>
              <w:t>IMPUESTOS AFECTADOS DIRECTAMENTE</w:t>
            </w:r>
          </w:p>
          <w:p w14:paraId="785B7A9D" w14:textId="77777777" w:rsidR="007907D4" w:rsidRPr="00EB1932" w:rsidRDefault="007907D4" w:rsidP="007907D4">
            <w:pPr>
              <w:spacing w:before="60" w:after="60" w:line="220" w:lineRule="exact"/>
              <w:jc w:val="center"/>
              <w:rPr>
                <w:rFonts w:ascii="Times New Roman" w:eastAsia="Times New Roman" w:hAnsi="Times New Roman" w:cs="Times New Roman"/>
                <w:b/>
                <w:color w:val="000000"/>
                <w:sz w:val="28"/>
                <w:szCs w:val="28"/>
                <w:lang w:eastAsia="es-ES"/>
              </w:rPr>
            </w:pPr>
            <w:r w:rsidRPr="007D4111">
              <w:rPr>
                <w:rFonts w:ascii="Times New Roman" w:eastAsia="Times New Roman" w:hAnsi="Times New Roman" w:cs="Times New Roman"/>
                <w:b/>
                <w:color w:val="000000"/>
                <w:sz w:val="26"/>
                <w:szCs w:val="26"/>
                <w:lang w:eastAsia="es-ES"/>
              </w:rPr>
              <w:t xml:space="preserve"> POR EL VALOR DE REFERENCIA</w:t>
            </w:r>
          </w:p>
        </w:tc>
      </w:tr>
      <w:tr w:rsidR="007907D4" w:rsidRPr="000E48AA" w14:paraId="3BD83A9C" w14:textId="77777777" w:rsidTr="007907D4">
        <w:trPr>
          <w:trHeight w:val="163"/>
          <w:jc w:val="center"/>
        </w:trPr>
        <w:tc>
          <w:tcPr>
            <w:tcW w:w="1798" w:type="dxa"/>
            <w:vMerge w:val="restart"/>
            <w:tcBorders>
              <w:top w:val="single" w:sz="18" w:space="0" w:color="auto"/>
              <w:left w:val="single" w:sz="18" w:space="0" w:color="auto"/>
              <w:right w:val="single" w:sz="18" w:space="0" w:color="auto"/>
            </w:tcBorders>
            <w:shd w:val="clear" w:color="auto" w:fill="FFFFFF"/>
            <w:vAlign w:val="center"/>
          </w:tcPr>
          <w:p w14:paraId="7371DDA9" w14:textId="77777777" w:rsidR="007907D4" w:rsidRPr="000E48AA" w:rsidRDefault="007907D4" w:rsidP="007907D4">
            <w:pPr>
              <w:spacing w:before="60" w:after="6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TPO</w:t>
            </w:r>
          </w:p>
        </w:tc>
        <w:tc>
          <w:tcPr>
            <w:tcW w:w="6660" w:type="dxa"/>
            <w:tcBorders>
              <w:top w:val="single" w:sz="18" w:space="0" w:color="auto"/>
              <w:left w:val="single" w:sz="18" w:space="0" w:color="auto"/>
              <w:bottom w:val="single" w:sz="8" w:space="0" w:color="auto"/>
              <w:right w:val="single" w:sz="18" w:space="0" w:color="auto"/>
            </w:tcBorders>
            <w:shd w:val="clear" w:color="auto" w:fill="FFFFFF"/>
            <w:vAlign w:val="center"/>
          </w:tcPr>
          <w:p w14:paraId="7251813F" w14:textId="77777777" w:rsidR="007907D4" w:rsidRPr="00CA3BB5" w:rsidRDefault="007907D4" w:rsidP="007907D4">
            <w:pPr>
              <w:spacing w:before="60" w:after="40" w:line="240" w:lineRule="auto"/>
              <w:jc w:val="center"/>
              <w:rPr>
                <w:rFonts w:ascii="Times New Roman" w:eastAsia="Times New Roman" w:hAnsi="Times New Roman" w:cs="Times New Roman"/>
                <w:b/>
                <w:sz w:val="24"/>
                <w:szCs w:val="24"/>
                <w:lang w:eastAsia="es-ES"/>
              </w:rPr>
            </w:pPr>
            <w:r w:rsidRPr="00CA3BB5">
              <w:rPr>
                <w:rFonts w:ascii="Times New Roman" w:eastAsia="Times New Roman" w:hAnsi="Times New Roman" w:cs="Times New Roman"/>
                <w:b/>
                <w:sz w:val="24"/>
                <w:szCs w:val="24"/>
                <w:lang w:eastAsia="es-ES"/>
              </w:rPr>
              <w:t>Valor de referencia</w:t>
            </w:r>
            <w:r>
              <w:rPr>
                <w:rFonts w:ascii="Times New Roman" w:eastAsia="Times New Roman" w:hAnsi="Times New Roman" w:cs="Times New Roman"/>
                <w:b/>
                <w:sz w:val="24"/>
                <w:szCs w:val="24"/>
                <w:lang w:eastAsia="es-ES"/>
              </w:rPr>
              <w:t xml:space="preserve"> </w:t>
            </w:r>
            <w:r w:rsidRPr="00261020">
              <w:rPr>
                <w:rFonts w:ascii="Times New Roman" w:eastAsia="Times New Roman" w:hAnsi="Times New Roman" w:cs="Times New Roman"/>
                <w:sz w:val="20"/>
                <w:szCs w:val="20"/>
                <w:lang w:eastAsia="es-ES"/>
              </w:rPr>
              <w:t>(</w:t>
            </w:r>
            <w:hyperlink r:id="rId27" w:anchor="a10" w:history="1">
              <w:r w:rsidRPr="00261020">
                <w:rPr>
                  <w:rStyle w:val="Hipervnculo"/>
                  <w:rFonts w:ascii="Times New Roman" w:eastAsia="Times New Roman" w:hAnsi="Times New Roman" w:cs="Times New Roman"/>
                  <w:sz w:val="20"/>
                  <w:szCs w:val="20"/>
                  <w:lang w:eastAsia="es-ES"/>
                </w:rPr>
                <w:t>art. 10-2 D-leg 1/1993, reformado</w:t>
              </w:r>
            </w:hyperlink>
            <w:r w:rsidRPr="00261020">
              <w:rPr>
                <w:rFonts w:ascii="Times New Roman" w:eastAsia="Times New Roman" w:hAnsi="Times New Roman" w:cs="Times New Roman"/>
                <w:sz w:val="20"/>
                <w:szCs w:val="20"/>
                <w:lang w:eastAsia="es-ES"/>
              </w:rPr>
              <w:t>)</w:t>
            </w:r>
          </w:p>
        </w:tc>
      </w:tr>
      <w:tr w:rsidR="007907D4" w:rsidRPr="000E48AA" w14:paraId="0422AF60" w14:textId="77777777" w:rsidTr="007907D4">
        <w:trPr>
          <w:trHeight w:val="201"/>
          <w:jc w:val="center"/>
        </w:trPr>
        <w:tc>
          <w:tcPr>
            <w:tcW w:w="1798" w:type="dxa"/>
            <w:vMerge/>
            <w:tcBorders>
              <w:left w:val="single" w:sz="18" w:space="0" w:color="auto"/>
              <w:right w:val="single" w:sz="18" w:space="0" w:color="auto"/>
            </w:tcBorders>
            <w:shd w:val="clear" w:color="auto" w:fill="FFFFFF"/>
            <w:vAlign w:val="center"/>
          </w:tcPr>
          <w:p w14:paraId="714D3BB9" w14:textId="77777777" w:rsidR="007907D4" w:rsidRDefault="007907D4" w:rsidP="007907D4">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FFFFFF"/>
            <w:vAlign w:val="center"/>
          </w:tcPr>
          <w:p w14:paraId="3AF92C3B" w14:textId="77777777" w:rsidR="007907D4" w:rsidRPr="00CA663E" w:rsidRDefault="007907D4" w:rsidP="007907D4">
            <w:pPr>
              <w:spacing w:before="20" w:after="40" w:line="200" w:lineRule="exact"/>
              <w:jc w:val="center"/>
              <w:rPr>
                <w:rFonts w:ascii="Times New Roman" w:eastAsia="Times New Roman" w:hAnsi="Times New Roman" w:cs="Times New Roman"/>
                <w:lang w:eastAsia="es-ES"/>
              </w:rPr>
            </w:pPr>
            <w:r w:rsidRPr="00CA663E">
              <w:rPr>
                <w:rFonts w:ascii="Times New Roman" w:eastAsia="Times New Roman" w:hAnsi="Times New Roman" w:cs="Times New Roman"/>
                <w:lang w:eastAsia="es-ES"/>
              </w:rPr>
              <w:t>En las aportaciones onerosas a gananciales, que están exentas del ITPO (</w:t>
            </w:r>
            <w:hyperlink r:id="rId28" w:anchor="a45" w:history="1">
              <w:r w:rsidRPr="00CA663E">
                <w:rPr>
                  <w:rStyle w:val="Hipervnculo"/>
                  <w:rFonts w:ascii="Times New Roman" w:eastAsia="Times New Roman" w:hAnsi="Times New Roman" w:cs="Times New Roman"/>
                  <w:lang w:eastAsia="es-ES"/>
                </w:rPr>
                <w:t>art. 45-I-B-3 D-leg 1/1993</w:t>
              </w:r>
            </w:hyperlink>
            <w:r w:rsidRPr="00CA663E">
              <w:rPr>
                <w:rFonts w:ascii="Times New Roman" w:eastAsia="Times New Roman" w:hAnsi="Times New Roman" w:cs="Times New Roman"/>
                <w:lang w:eastAsia="es-ES"/>
              </w:rPr>
              <w:t xml:space="preserve">), se estará al valor declarado para la determinación de la ganancia del aportante en el IRPF </w:t>
            </w:r>
          </w:p>
        </w:tc>
      </w:tr>
      <w:tr w:rsidR="007907D4" w:rsidRPr="000E48AA" w14:paraId="774413A4" w14:textId="77777777" w:rsidTr="007907D4">
        <w:trPr>
          <w:trHeight w:val="401"/>
          <w:jc w:val="center"/>
        </w:trPr>
        <w:tc>
          <w:tcPr>
            <w:tcW w:w="1798" w:type="dxa"/>
            <w:vMerge/>
            <w:tcBorders>
              <w:left w:val="single" w:sz="18" w:space="0" w:color="auto"/>
              <w:right w:val="single" w:sz="18" w:space="0" w:color="auto"/>
            </w:tcBorders>
            <w:shd w:val="clear" w:color="auto" w:fill="FFFFFF"/>
            <w:vAlign w:val="center"/>
          </w:tcPr>
          <w:p w14:paraId="41AEA47B" w14:textId="77777777" w:rsidR="007907D4" w:rsidRDefault="007907D4" w:rsidP="007907D4">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FFFFFF"/>
            <w:vAlign w:val="center"/>
          </w:tcPr>
          <w:p w14:paraId="63E8DBC5" w14:textId="7F963A4C" w:rsidR="007907D4" w:rsidRPr="00EB68B2" w:rsidRDefault="007907D4" w:rsidP="007907D4">
            <w:pPr>
              <w:spacing w:before="20" w:after="60" w:line="200" w:lineRule="exact"/>
              <w:jc w:val="center"/>
              <w:rPr>
                <w:rFonts w:ascii="Times New Roman" w:eastAsia="Times New Roman" w:hAnsi="Times New Roman" w:cs="Times New Roman"/>
                <w:sz w:val="18"/>
                <w:szCs w:val="18"/>
                <w:lang w:eastAsia="es-ES"/>
              </w:rPr>
            </w:pPr>
            <w:r w:rsidRPr="00EB68B2">
              <w:rPr>
                <w:rFonts w:ascii="Times New Roman" w:eastAsia="Times New Roman" w:hAnsi="Times New Roman" w:cs="Times New Roman"/>
                <w:sz w:val="18"/>
                <w:szCs w:val="18"/>
                <w:lang w:eastAsia="es-ES"/>
              </w:rPr>
              <w:t>En las liquidaciones de gananciales, que están exentas del ITPO (</w:t>
            </w:r>
            <w:hyperlink r:id="rId29" w:anchor="a45" w:history="1">
              <w:r w:rsidRPr="00EB68B2">
                <w:rPr>
                  <w:rStyle w:val="Hipervnculo"/>
                  <w:rFonts w:ascii="Times New Roman" w:eastAsia="Times New Roman" w:hAnsi="Times New Roman" w:cs="Times New Roman"/>
                  <w:sz w:val="18"/>
                  <w:szCs w:val="18"/>
                  <w:lang w:eastAsia="es-ES"/>
                </w:rPr>
                <w:t>art. 45-I-B-3 D-leg 1/1993</w:t>
              </w:r>
            </w:hyperlink>
            <w:r w:rsidRPr="00EB68B2">
              <w:rPr>
                <w:rFonts w:ascii="Times New Roman" w:eastAsia="Times New Roman" w:hAnsi="Times New Roman" w:cs="Times New Roman"/>
                <w:sz w:val="18"/>
                <w:szCs w:val="18"/>
                <w:lang w:eastAsia="es-ES"/>
              </w:rPr>
              <w:t>) y no sujeta la eventual ganancia en el IRPF (</w:t>
            </w:r>
            <w:hyperlink r:id="rId30" w:anchor="c2s4" w:history="1">
              <w:r w:rsidRPr="00EB68B2">
                <w:rPr>
                  <w:rStyle w:val="Hipervnculo"/>
                  <w:rFonts w:ascii="Times New Roman" w:eastAsia="Times New Roman" w:hAnsi="Times New Roman" w:cs="Times New Roman"/>
                  <w:sz w:val="18"/>
                  <w:szCs w:val="18"/>
                  <w:lang w:eastAsia="es-ES"/>
                </w:rPr>
                <w:t>art. 33-2-b Ley 35/2006</w:t>
              </w:r>
            </w:hyperlink>
            <w:r w:rsidRPr="00EB68B2">
              <w:rPr>
                <w:rFonts w:ascii="Times New Roman" w:eastAsia="Times New Roman" w:hAnsi="Times New Roman" w:cs="Times New Roman"/>
                <w:sz w:val="18"/>
                <w:szCs w:val="18"/>
                <w:lang w:eastAsia="es-ES"/>
              </w:rPr>
              <w:t>), pueden producirse excesos de adjudicación cuyo tratamiento será el general</w:t>
            </w:r>
            <w:r>
              <w:rPr>
                <w:rFonts w:ascii="Times New Roman" w:eastAsia="Times New Roman" w:hAnsi="Times New Roman" w:cs="Times New Roman"/>
                <w:sz w:val="18"/>
                <w:szCs w:val="18"/>
                <w:lang w:eastAsia="es-ES"/>
              </w:rPr>
              <w:t xml:space="preserve"> </w:t>
            </w:r>
            <w:r w:rsidR="000B3C0F">
              <w:rPr>
                <w:rFonts w:ascii="Times New Roman" w:eastAsia="Times New Roman" w:hAnsi="Times New Roman" w:cs="Times New Roman"/>
                <w:sz w:val="16"/>
                <w:szCs w:val="16"/>
                <w:lang w:eastAsia="es-ES"/>
              </w:rPr>
              <w:t xml:space="preserve">[ver APARTADO </w:t>
            </w:r>
            <w:r w:rsidR="00521375">
              <w:rPr>
                <w:rFonts w:ascii="Times New Roman" w:eastAsia="Times New Roman" w:hAnsi="Times New Roman" w:cs="Times New Roman"/>
                <w:sz w:val="16"/>
                <w:szCs w:val="16"/>
                <w:lang w:eastAsia="es-ES"/>
              </w:rPr>
              <w:t>5</w:t>
            </w:r>
            <w:r w:rsidRPr="0006270B">
              <w:rPr>
                <w:rFonts w:ascii="Times New Roman" w:eastAsia="Times New Roman" w:hAnsi="Times New Roman" w:cs="Times New Roman"/>
                <w:sz w:val="16"/>
                <w:szCs w:val="16"/>
                <w:lang w:eastAsia="es-ES"/>
              </w:rPr>
              <w:t>]</w:t>
            </w:r>
          </w:p>
        </w:tc>
      </w:tr>
      <w:tr w:rsidR="007907D4" w:rsidRPr="000E48AA" w14:paraId="613E51E2" w14:textId="77777777" w:rsidTr="007907D4">
        <w:trPr>
          <w:trHeight w:val="163"/>
          <w:jc w:val="center"/>
        </w:trPr>
        <w:tc>
          <w:tcPr>
            <w:tcW w:w="1798" w:type="dxa"/>
            <w:vMerge w:val="restart"/>
            <w:tcBorders>
              <w:top w:val="single" w:sz="12" w:space="0" w:color="auto"/>
              <w:left w:val="single" w:sz="18" w:space="0" w:color="auto"/>
              <w:right w:val="single" w:sz="18" w:space="0" w:color="auto"/>
            </w:tcBorders>
            <w:shd w:val="clear" w:color="auto" w:fill="E7E6E6"/>
            <w:vAlign w:val="center"/>
          </w:tcPr>
          <w:p w14:paraId="09B27D2F" w14:textId="77777777" w:rsidR="007907D4" w:rsidRDefault="007907D4" w:rsidP="007907D4">
            <w:pPr>
              <w:spacing w:before="60" w:after="6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Operaciones societarias</w:t>
            </w:r>
          </w:p>
        </w:tc>
        <w:tc>
          <w:tcPr>
            <w:tcW w:w="6660" w:type="dxa"/>
            <w:tcBorders>
              <w:top w:val="single" w:sz="12" w:space="0" w:color="auto"/>
              <w:left w:val="single" w:sz="18" w:space="0" w:color="auto"/>
              <w:bottom w:val="single" w:sz="8" w:space="0" w:color="auto"/>
              <w:right w:val="single" w:sz="18" w:space="0" w:color="auto"/>
            </w:tcBorders>
            <w:shd w:val="clear" w:color="auto" w:fill="E7E6E6"/>
            <w:vAlign w:val="center"/>
          </w:tcPr>
          <w:p w14:paraId="1F791844" w14:textId="77777777" w:rsidR="007907D4" w:rsidRDefault="007907D4" w:rsidP="007907D4">
            <w:pPr>
              <w:spacing w:before="60" w:after="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En la constitución y aumento de capital, así como aportaciones sociales que no supongan aumento de capital, valor nominal, </w:t>
            </w:r>
          </w:p>
          <w:p w14:paraId="03A4B848" w14:textId="77777777" w:rsidR="007907D4" w:rsidRPr="00CA3BB5" w:rsidRDefault="007907D4" w:rsidP="007907D4">
            <w:pPr>
              <w:spacing w:after="4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sin perjuicio de su exención </w:t>
            </w:r>
            <w:r w:rsidRPr="00261020">
              <w:rPr>
                <w:rFonts w:ascii="Times New Roman" w:eastAsia="Times New Roman" w:hAnsi="Times New Roman" w:cs="Times New Roman"/>
                <w:sz w:val="20"/>
                <w:szCs w:val="20"/>
                <w:lang w:eastAsia="es-ES"/>
              </w:rPr>
              <w:t>(</w:t>
            </w:r>
            <w:hyperlink r:id="rId31" w:anchor="a30" w:history="1">
              <w:r>
                <w:rPr>
                  <w:rStyle w:val="Hipervnculo"/>
                  <w:rFonts w:ascii="Times New Roman" w:eastAsia="Times New Roman" w:hAnsi="Times New Roman" w:cs="Times New Roman"/>
                  <w:sz w:val="20"/>
                  <w:szCs w:val="20"/>
                  <w:lang w:eastAsia="es-ES"/>
                </w:rPr>
                <w:t>arts. 19, 25-1</w:t>
              </w:r>
              <w:r w:rsidRPr="00261020">
                <w:rPr>
                  <w:rStyle w:val="Hipervnculo"/>
                  <w:rFonts w:ascii="Times New Roman" w:eastAsia="Times New Roman" w:hAnsi="Times New Roman" w:cs="Times New Roman"/>
                  <w:sz w:val="20"/>
                  <w:szCs w:val="20"/>
                  <w:lang w:eastAsia="es-ES"/>
                </w:rPr>
                <w:t xml:space="preserve"> </w:t>
              </w:r>
              <w:r>
                <w:rPr>
                  <w:rStyle w:val="Hipervnculo"/>
                  <w:rFonts w:ascii="Times New Roman" w:eastAsia="Times New Roman" w:hAnsi="Times New Roman" w:cs="Times New Roman"/>
                  <w:sz w:val="20"/>
                  <w:szCs w:val="20"/>
                  <w:lang w:eastAsia="es-ES"/>
                </w:rPr>
                <w:t xml:space="preserve">y 45-I-B-11 </w:t>
              </w:r>
              <w:r w:rsidRPr="00261020">
                <w:rPr>
                  <w:rStyle w:val="Hipervnculo"/>
                  <w:rFonts w:ascii="Times New Roman" w:eastAsia="Times New Roman" w:hAnsi="Times New Roman" w:cs="Times New Roman"/>
                  <w:sz w:val="20"/>
                  <w:szCs w:val="20"/>
                  <w:lang w:eastAsia="es-ES"/>
                </w:rPr>
                <w:t>D-leg 1/1993</w:t>
              </w:r>
            </w:hyperlink>
            <w:r w:rsidRPr="00261020">
              <w:rPr>
                <w:rFonts w:ascii="Times New Roman" w:eastAsia="Times New Roman" w:hAnsi="Times New Roman" w:cs="Times New Roman"/>
                <w:sz w:val="20"/>
                <w:szCs w:val="20"/>
                <w:lang w:eastAsia="es-ES"/>
              </w:rPr>
              <w:t>)</w:t>
            </w:r>
          </w:p>
        </w:tc>
      </w:tr>
      <w:tr w:rsidR="007907D4" w:rsidRPr="000E48AA" w14:paraId="76E9CD9F" w14:textId="77777777" w:rsidTr="007907D4">
        <w:trPr>
          <w:trHeight w:val="163"/>
          <w:jc w:val="center"/>
        </w:trPr>
        <w:tc>
          <w:tcPr>
            <w:tcW w:w="1798" w:type="dxa"/>
            <w:vMerge/>
            <w:tcBorders>
              <w:left w:val="single" w:sz="18" w:space="0" w:color="auto"/>
              <w:right w:val="single" w:sz="18" w:space="0" w:color="auto"/>
            </w:tcBorders>
            <w:shd w:val="clear" w:color="auto" w:fill="E7E6E6"/>
            <w:vAlign w:val="center"/>
          </w:tcPr>
          <w:p w14:paraId="2ED83FFE" w14:textId="77777777" w:rsidR="007907D4" w:rsidRDefault="007907D4" w:rsidP="007907D4">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E7E6E6"/>
            <w:vAlign w:val="center"/>
          </w:tcPr>
          <w:p w14:paraId="391BB489" w14:textId="77777777" w:rsidR="007907D4" w:rsidRPr="00CA3BB5" w:rsidRDefault="007907D4" w:rsidP="007907D4">
            <w:pPr>
              <w:spacing w:before="20" w:after="6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En la liquidación y disminución de capital, valor de referencia </w:t>
            </w:r>
            <w:r w:rsidRPr="00261020">
              <w:rPr>
                <w:rFonts w:ascii="Times New Roman" w:eastAsia="Times New Roman" w:hAnsi="Times New Roman" w:cs="Times New Roman"/>
                <w:sz w:val="20"/>
                <w:szCs w:val="20"/>
                <w:lang w:eastAsia="es-ES"/>
              </w:rPr>
              <w:t>(</w:t>
            </w:r>
            <w:hyperlink r:id="rId32" w:anchor="a30" w:history="1">
              <w:r>
                <w:rPr>
                  <w:rStyle w:val="Hipervnculo"/>
                  <w:rFonts w:ascii="Times New Roman" w:eastAsia="Times New Roman" w:hAnsi="Times New Roman" w:cs="Times New Roman"/>
                  <w:sz w:val="20"/>
                  <w:szCs w:val="20"/>
                  <w:lang w:eastAsia="es-ES"/>
                </w:rPr>
                <w:t>art. 25-4</w:t>
              </w:r>
              <w:r w:rsidRPr="00261020">
                <w:rPr>
                  <w:rStyle w:val="Hipervnculo"/>
                  <w:rFonts w:ascii="Times New Roman" w:eastAsia="Times New Roman" w:hAnsi="Times New Roman" w:cs="Times New Roman"/>
                  <w:sz w:val="20"/>
                  <w:szCs w:val="20"/>
                  <w:lang w:eastAsia="es-ES"/>
                </w:rPr>
                <w:t xml:space="preserve"> D-leg 1/199</w:t>
              </w:r>
              <w:r>
                <w:rPr>
                  <w:rStyle w:val="Hipervnculo"/>
                  <w:rFonts w:ascii="Times New Roman" w:eastAsia="Times New Roman" w:hAnsi="Times New Roman" w:cs="Times New Roman"/>
                  <w:sz w:val="20"/>
                  <w:szCs w:val="20"/>
                  <w:lang w:eastAsia="es-ES"/>
                </w:rPr>
                <w:t>3, reformado</w:t>
              </w:r>
            </w:hyperlink>
            <w:r w:rsidRPr="00261020">
              <w:rPr>
                <w:rFonts w:ascii="Times New Roman" w:eastAsia="Times New Roman" w:hAnsi="Times New Roman" w:cs="Times New Roman"/>
                <w:sz w:val="20"/>
                <w:szCs w:val="20"/>
                <w:lang w:eastAsia="es-ES"/>
              </w:rPr>
              <w:t>)</w:t>
            </w:r>
          </w:p>
        </w:tc>
      </w:tr>
      <w:tr w:rsidR="007907D4" w:rsidRPr="000E48AA" w14:paraId="5B9C5D37" w14:textId="77777777" w:rsidTr="007907D4">
        <w:trPr>
          <w:trHeight w:val="163"/>
          <w:jc w:val="center"/>
        </w:trPr>
        <w:tc>
          <w:tcPr>
            <w:tcW w:w="1798" w:type="dxa"/>
            <w:vMerge w:val="restart"/>
            <w:tcBorders>
              <w:top w:val="single" w:sz="12" w:space="0" w:color="auto"/>
              <w:left w:val="single" w:sz="18" w:space="0" w:color="auto"/>
              <w:right w:val="single" w:sz="18" w:space="0" w:color="auto"/>
            </w:tcBorders>
            <w:shd w:val="clear" w:color="auto" w:fill="auto"/>
            <w:vAlign w:val="center"/>
          </w:tcPr>
          <w:p w14:paraId="02825583" w14:textId="77777777" w:rsidR="007907D4" w:rsidRPr="000E48AA" w:rsidRDefault="007907D4" w:rsidP="007907D4">
            <w:pPr>
              <w:spacing w:before="60" w:after="6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AJD</w:t>
            </w:r>
          </w:p>
        </w:tc>
        <w:tc>
          <w:tcPr>
            <w:tcW w:w="6660" w:type="dxa"/>
            <w:tcBorders>
              <w:top w:val="single" w:sz="12" w:space="0" w:color="auto"/>
              <w:left w:val="single" w:sz="18" w:space="0" w:color="auto"/>
              <w:bottom w:val="single" w:sz="8" w:space="0" w:color="auto"/>
              <w:right w:val="single" w:sz="18" w:space="0" w:color="auto"/>
            </w:tcBorders>
            <w:shd w:val="clear" w:color="auto" w:fill="auto"/>
            <w:vAlign w:val="center"/>
          </w:tcPr>
          <w:p w14:paraId="5D1722BC" w14:textId="77777777" w:rsidR="007907D4" w:rsidRPr="000E48AA" w:rsidRDefault="007907D4" w:rsidP="00D653BA">
            <w:pPr>
              <w:spacing w:before="60" w:after="40" w:line="240" w:lineRule="auto"/>
              <w:jc w:val="center"/>
              <w:rPr>
                <w:rFonts w:ascii="Times New Roman" w:eastAsia="Times New Roman" w:hAnsi="Times New Roman" w:cs="Times New Roman"/>
                <w:lang w:eastAsia="es-ES"/>
              </w:rPr>
            </w:pPr>
            <w:r w:rsidRPr="00CA3BB5">
              <w:rPr>
                <w:rFonts w:ascii="Times New Roman" w:eastAsia="Times New Roman" w:hAnsi="Times New Roman" w:cs="Times New Roman"/>
                <w:b/>
                <w:sz w:val="24"/>
                <w:szCs w:val="24"/>
                <w:lang w:eastAsia="es-ES"/>
              </w:rPr>
              <w:t>Valor de referencia</w:t>
            </w:r>
            <w:r>
              <w:rPr>
                <w:rFonts w:ascii="Times New Roman" w:eastAsia="Times New Roman" w:hAnsi="Times New Roman" w:cs="Times New Roman"/>
                <w:b/>
                <w:sz w:val="24"/>
                <w:szCs w:val="24"/>
                <w:lang w:eastAsia="es-ES"/>
              </w:rPr>
              <w:t xml:space="preserve"> </w:t>
            </w:r>
            <w:r w:rsidRPr="00261020">
              <w:rPr>
                <w:rFonts w:ascii="Times New Roman" w:eastAsia="Times New Roman" w:hAnsi="Times New Roman" w:cs="Times New Roman"/>
                <w:sz w:val="20"/>
                <w:szCs w:val="20"/>
                <w:lang w:eastAsia="es-ES"/>
              </w:rPr>
              <w:t>(</w:t>
            </w:r>
            <w:hyperlink r:id="rId33" w:anchor="a30" w:history="1">
              <w:r w:rsidRPr="00261020">
                <w:rPr>
                  <w:rStyle w:val="Hipervnculo"/>
                  <w:rFonts w:ascii="Times New Roman" w:eastAsia="Times New Roman" w:hAnsi="Times New Roman" w:cs="Times New Roman"/>
                  <w:sz w:val="20"/>
                  <w:szCs w:val="20"/>
                  <w:lang w:eastAsia="es-ES"/>
                </w:rPr>
                <w:t>art. 30-1 D-leg 1/1993, reformado</w:t>
              </w:r>
            </w:hyperlink>
            <w:r w:rsidRPr="00261020">
              <w:rPr>
                <w:rFonts w:ascii="Times New Roman" w:eastAsia="Times New Roman" w:hAnsi="Times New Roman" w:cs="Times New Roman"/>
                <w:sz w:val="20"/>
                <w:szCs w:val="20"/>
                <w:lang w:eastAsia="es-ES"/>
              </w:rPr>
              <w:t>)</w:t>
            </w:r>
          </w:p>
        </w:tc>
      </w:tr>
      <w:tr w:rsidR="007907D4" w:rsidRPr="000E48AA" w14:paraId="25903F22" w14:textId="77777777" w:rsidTr="007907D4">
        <w:trPr>
          <w:trHeight w:val="345"/>
          <w:jc w:val="center"/>
        </w:trPr>
        <w:tc>
          <w:tcPr>
            <w:tcW w:w="1798" w:type="dxa"/>
            <w:vMerge/>
            <w:tcBorders>
              <w:left w:val="single" w:sz="18" w:space="0" w:color="auto"/>
              <w:right w:val="single" w:sz="18" w:space="0" w:color="auto"/>
            </w:tcBorders>
            <w:shd w:val="clear" w:color="auto" w:fill="auto"/>
            <w:vAlign w:val="center"/>
          </w:tcPr>
          <w:p w14:paraId="18B0EC70" w14:textId="77777777" w:rsidR="007907D4" w:rsidRDefault="007907D4" w:rsidP="007907D4">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auto"/>
            <w:vAlign w:val="center"/>
          </w:tcPr>
          <w:p w14:paraId="11FE225F" w14:textId="77777777" w:rsidR="002B0350" w:rsidRDefault="007907D4" w:rsidP="002B0350">
            <w:pPr>
              <w:spacing w:before="20" w:after="20" w:line="200" w:lineRule="exact"/>
              <w:jc w:val="both"/>
              <w:rPr>
                <w:rFonts w:ascii="Times New Roman" w:eastAsia="Times New Roman" w:hAnsi="Times New Roman" w:cs="Times New Roman"/>
                <w:lang w:eastAsia="es-ES"/>
              </w:rPr>
            </w:pPr>
            <w:r w:rsidRPr="00521375">
              <w:rPr>
                <w:rFonts w:ascii="Times New Roman" w:eastAsia="Times New Roman" w:hAnsi="Times New Roman" w:cs="Times New Roman"/>
                <w:lang w:eastAsia="es-ES"/>
              </w:rPr>
              <w:t xml:space="preserve">Dado que el valor de referencia no distingue entre el terreno y la edificación, en los casos que sea necesario (por ejemplo, una declaración de </w:t>
            </w:r>
            <w:r w:rsidRPr="00521375">
              <w:rPr>
                <w:rFonts w:ascii="Times New Roman" w:hAnsi="Times New Roman" w:cs="Times New Roman"/>
                <w:spacing w:val="6"/>
                <w:lang w:val="es-ES_tradnl"/>
              </w:rPr>
              <w:t>«</w:t>
            </w:r>
            <w:r w:rsidRPr="00521375">
              <w:rPr>
                <w:rFonts w:ascii="Times New Roman" w:eastAsia="Times New Roman" w:hAnsi="Times New Roman" w:cs="Times New Roman"/>
                <w:lang w:eastAsia="es-ES"/>
              </w:rPr>
              <w:t>obra vieja</w:t>
            </w:r>
            <w:r w:rsidRPr="00521375">
              <w:rPr>
                <w:rFonts w:ascii="Times New Roman" w:hAnsi="Times New Roman" w:cs="Times New Roman"/>
                <w:spacing w:val="6"/>
                <w:lang w:val="es-ES_tradnl"/>
              </w:rPr>
              <w:t>»</w:t>
            </w:r>
            <w:r w:rsidRPr="00521375">
              <w:rPr>
                <w:rFonts w:ascii="Times New Roman" w:eastAsia="Times New Roman" w:hAnsi="Times New Roman" w:cs="Times New Roman"/>
                <w:lang w:eastAsia="es-ES"/>
              </w:rPr>
              <w:t>, una agrupación con edificaciones no declaradas, etc) puede determinarse proporcionalmente al valor catastral (criterio seguido en el IIVTNU).</w:t>
            </w:r>
            <w:r w:rsidR="002B0350">
              <w:rPr>
                <w:rFonts w:ascii="Times New Roman" w:eastAsia="Times New Roman" w:hAnsi="Times New Roman" w:cs="Times New Roman"/>
                <w:lang w:eastAsia="es-ES"/>
              </w:rPr>
              <w:t xml:space="preserve"> </w:t>
            </w:r>
            <w:r w:rsidRPr="00521375">
              <w:rPr>
                <w:rFonts w:ascii="Times New Roman" w:eastAsia="Times New Roman" w:hAnsi="Times New Roman" w:cs="Times New Roman"/>
                <w:lang w:eastAsia="es-ES"/>
              </w:rPr>
              <w:t>O quizás mejor, el que resulte del Certificado de Motivación del Valor de Referencia (al lado derecho del Certificado de Valor de Referencia y sin aplicar todavía el factor de minoración).</w:t>
            </w:r>
            <w:r w:rsidR="00957436">
              <w:rPr>
                <w:rFonts w:ascii="Times New Roman" w:eastAsia="Times New Roman" w:hAnsi="Times New Roman" w:cs="Times New Roman"/>
                <w:lang w:eastAsia="es-ES"/>
              </w:rPr>
              <w:t xml:space="preserve"> </w:t>
            </w:r>
          </w:p>
          <w:p w14:paraId="6A0038CF" w14:textId="60E8B97E" w:rsidR="007907D4" w:rsidRPr="007E7FCE" w:rsidRDefault="00957436" w:rsidP="002B0350">
            <w:pPr>
              <w:spacing w:before="20" w:after="60" w:line="200" w:lineRule="exact"/>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[ver </w:t>
            </w:r>
            <w:r w:rsidRPr="00D653BA">
              <w:rPr>
                <w:rFonts w:ascii="Times New Roman" w:eastAsia="Times New Roman" w:hAnsi="Times New Roman" w:cs="Times New Roman"/>
                <w:sz w:val="18"/>
                <w:szCs w:val="18"/>
                <w:lang w:eastAsia="es-ES"/>
              </w:rPr>
              <w:t xml:space="preserve">APARTADO </w:t>
            </w:r>
            <w:r>
              <w:rPr>
                <w:rFonts w:ascii="Times New Roman" w:eastAsia="Times New Roman" w:hAnsi="Times New Roman" w:cs="Times New Roman"/>
                <w:sz w:val="18"/>
                <w:szCs w:val="18"/>
                <w:lang w:eastAsia="es-ES"/>
              </w:rPr>
              <w:t>4</w:t>
            </w:r>
            <w:r w:rsidR="002B0350">
              <w:rPr>
                <w:rFonts w:ascii="Times New Roman" w:eastAsia="Times New Roman" w:hAnsi="Times New Roman" w:cs="Times New Roman"/>
                <w:sz w:val="18"/>
                <w:szCs w:val="18"/>
                <w:lang w:eastAsia="es-ES"/>
              </w:rPr>
              <w:t xml:space="preserve"> </w:t>
            </w:r>
            <w:r w:rsidR="002B0350" w:rsidRPr="002B0350">
              <w:rPr>
                <w:rFonts w:ascii="Times New Roman" w:eastAsia="Times New Roman" w:hAnsi="Times New Roman" w:cs="Times New Roman"/>
                <w:lang w:eastAsia="es-ES"/>
              </w:rPr>
              <w:t>para las declaraciones de obra</w:t>
            </w:r>
            <w:r w:rsidRPr="00BE0151">
              <w:rPr>
                <w:rFonts w:ascii="Times New Roman" w:eastAsia="Times New Roman" w:hAnsi="Times New Roman" w:cs="Times New Roman"/>
                <w:lang w:eastAsia="es-ES"/>
              </w:rPr>
              <w:t>]</w:t>
            </w:r>
          </w:p>
        </w:tc>
      </w:tr>
      <w:tr w:rsidR="007907D4" w:rsidRPr="000E48AA" w14:paraId="766DF4B1" w14:textId="77777777" w:rsidTr="007907D4">
        <w:trPr>
          <w:trHeight w:val="344"/>
          <w:jc w:val="center"/>
        </w:trPr>
        <w:tc>
          <w:tcPr>
            <w:tcW w:w="1798" w:type="dxa"/>
            <w:vMerge/>
            <w:tcBorders>
              <w:left w:val="single" w:sz="18" w:space="0" w:color="auto"/>
              <w:bottom w:val="single" w:sz="12" w:space="0" w:color="auto"/>
              <w:right w:val="single" w:sz="18" w:space="0" w:color="auto"/>
            </w:tcBorders>
            <w:shd w:val="clear" w:color="auto" w:fill="auto"/>
            <w:vAlign w:val="center"/>
          </w:tcPr>
          <w:p w14:paraId="29D2BE57" w14:textId="77777777" w:rsidR="007907D4" w:rsidRDefault="007907D4" w:rsidP="007907D4">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2" w:space="0" w:color="auto"/>
              <w:right w:val="single" w:sz="18" w:space="0" w:color="auto"/>
            </w:tcBorders>
            <w:shd w:val="clear" w:color="auto" w:fill="auto"/>
            <w:vAlign w:val="center"/>
          </w:tcPr>
          <w:p w14:paraId="14DCD1EC" w14:textId="7EBEC9AE" w:rsidR="007907D4" w:rsidRPr="00BE0151" w:rsidRDefault="007907D4" w:rsidP="007907D4">
            <w:pPr>
              <w:spacing w:before="20" w:after="60" w:line="200" w:lineRule="exact"/>
              <w:jc w:val="center"/>
              <w:rPr>
                <w:rFonts w:ascii="Times New Roman" w:eastAsia="Times New Roman" w:hAnsi="Times New Roman" w:cs="Times New Roman"/>
                <w:lang w:eastAsia="es-ES"/>
              </w:rPr>
            </w:pPr>
            <w:r w:rsidRPr="00BE0151">
              <w:rPr>
                <w:rFonts w:ascii="Times New Roman" w:eastAsia="Times New Roman" w:hAnsi="Times New Roman" w:cs="Times New Roman"/>
                <w:lang w:eastAsia="es-ES"/>
              </w:rPr>
              <w:t>El tratamiento de los excesos de adjudicación en las extinciones de condominio</w:t>
            </w:r>
            <w:r w:rsidR="000B3C0F">
              <w:rPr>
                <w:rFonts w:ascii="Times New Roman" w:eastAsia="Times New Roman" w:hAnsi="Times New Roman" w:cs="Times New Roman"/>
                <w:lang w:eastAsia="es-ES"/>
              </w:rPr>
              <w:t xml:space="preserve"> será el general [ver </w:t>
            </w:r>
            <w:r w:rsidR="000B3C0F" w:rsidRPr="00D653BA">
              <w:rPr>
                <w:rFonts w:ascii="Times New Roman" w:eastAsia="Times New Roman" w:hAnsi="Times New Roman" w:cs="Times New Roman"/>
                <w:sz w:val="18"/>
                <w:szCs w:val="18"/>
                <w:lang w:eastAsia="es-ES"/>
              </w:rPr>
              <w:t xml:space="preserve">APARTADO </w:t>
            </w:r>
            <w:r w:rsidR="00521375" w:rsidRPr="00D653BA">
              <w:rPr>
                <w:rFonts w:ascii="Times New Roman" w:eastAsia="Times New Roman" w:hAnsi="Times New Roman" w:cs="Times New Roman"/>
                <w:sz w:val="18"/>
                <w:szCs w:val="18"/>
                <w:lang w:eastAsia="es-ES"/>
              </w:rPr>
              <w:t>5</w:t>
            </w:r>
            <w:r w:rsidRPr="00BE0151">
              <w:rPr>
                <w:rFonts w:ascii="Times New Roman" w:eastAsia="Times New Roman" w:hAnsi="Times New Roman" w:cs="Times New Roman"/>
                <w:lang w:eastAsia="es-ES"/>
              </w:rPr>
              <w:t>]</w:t>
            </w:r>
          </w:p>
        </w:tc>
      </w:tr>
      <w:tr w:rsidR="007907D4" w:rsidRPr="000E48AA" w14:paraId="009678DA" w14:textId="77777777" w:rsidTr="007907D4">
        <w:trPr>
          <w:trHeight w:val="163"/>
          <w:jc w:val="center"/>
        </w:trPr>
        <w:tc>
          <w:tcPr>
            <w:tcW w:w="1798" w:type="dxa"/>
            <w:vMerge w:val="restart"/>
            <w:tcBorders>
              <w:top w:val="single" w:sz="12" w:space="0" w:color="auto"/>
              <w:left w:val="single" w:sz="18" w:space="0" w:color="auto"/>
              <w:right w:val="single" w:sz="18" w:space="0" w:color="auto"/>
            </w:tcBorders>
            <w:shd w:val="clear" w:color="auto" w:fill="E7E6E6"/>
            <w:vAlign w:val="center"/>
          </w:tcPr>
          <w:p w14:paraId="73511FB6" w14:textId="77777777" w:rsidR="007907D4" w:rsidRPr="000E48AA" w:rsidRDefault="007907D4" w:rsidP="007907D4">
            <w:pPr>
              <w:spacing w:before="60" w:after="6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Sucesiones</w:t>
            </w:r>
          </w:p>
        </w:tc>
        <w:tc>
          <w:tcPr>
            <w:tcW w:w="6660" w:type="dxa"/>
            <w:tcBorders>
              <w:top w:val="single" w:sz="12" w:space="0" w:color="auto"/>
              <w:left w:val="single" w:sz="18" w:space="0" w:color="auto"/>
              <w:bottom w:val="single" w:sz="8" w:space="0" w:color="auto"/>
              <w:right w:val="single" w:sz="18" w:space="0" w:color="auto"/>
            </w:tcBorders>
            <w:shd w:val="clear" w:color="auto" w:fill="E7E6E6"/>
            <w:vAlign w:val="center"/>
          </w:tcPr>
          <w:p w14:paraId="0A3A7B3D" w14:textId="77777777" w:rsidR="007907D4" w:rsidRPr="000E48AA" w:rsidRDefault="007907D4" w:rsidP="007907D4">
            <w:pPr>
              <w:spacing w:before="60" w:after="40" w:line="240" w:lineRule="auto"/>
              <w:jc w:val="center"/>
              <w:rPr>
                <w:rFonts w:ascii="Times New Roman" w:eastAsia="Times New Roman" w:hAnsi="Times New Roman" w:cs="Times New Roman"/>
                <w:sz w:val="20"/>
                <w:szCs w:val="20"/>
                <w:lang w:eastAsia="es-ES"/>
              </w:rPr>
            </w:pPr>
            <w:r w:rsidRPr="00CA3BB5">
              <w:rPr>
                <w:rFonts w:ascii="Times New Roman" w:eastAsia="Times New Roman" w:hAnsi="Times New Roman" w:cs="Times New Roman"/>
                <w:b/>
                <w:sz w:val="24"/>
                <w:szCs w:val="24"/>
                <w:lang w:eastAsia="es-ES"/>
              </w:rPr>
              <w:t>Valor de referencia</w:t>
            </w:r>
            <w:r>
              <w:rPr>
                <w:rFonts w:ascii="Times New Roman" w:eastAsia="Times New Roman" w:hAnsi="Times New Roman" w:cs="Times New Roman"/>
                <w:b/>
                <w:sz w:val="24"/>
                <w:szCs w:val="24"/>
                <w:lang w:eastAsia="es-ES"/>
              </w:rPr>
              <w:t xml:space="preserve"> </w:t>
            </w:r>
            <w:r w:rsidRPr="00261020">
              <w:rPr>
                <w:rFonts w:ascii="Times New Roman" w:eastAsia="Times New Roman" w:hAnsi="Times New Roman" w:cs="Times New Roman"/>
                <w:sz w:val="20"/>
                <w:szCs w:val="20"/>
                <w:lang w:eastAsia="es-ES"/>
              </w:rPr>
              <w:t>(</w:t>
            </w:r>
            <w:hyperlink r:id="rId34" w:anchor="c4s1" w:history="1">
              <w:r w:rsidRPr="00261020">
                <w:rPr>
                  <w:rStyle w:val="Hipervnculo"/>
                  <w:rFonts w:ascii="Times New Roman" w:eastAsia="Times New Roman" w:hAnsi="Times New Roman" w:cs="Times New Roman"/>
                  <w:sz w:val="20"/>
                  <w:szCs w:val="20"/>
                  <w:lang w:eastAsia="es-ES"/>
                </w:rPr>
                <w:t>art. 9-3 Ley 29/1987, reformado</w:t>
              </w:r>
            </w:hyperlink>
            <w:r w:rsidRPr="00261020">
              <w:rPr>
                <w:rFonts w:ascii="Times New Roman" w:eastAsia="Times New Roman" w:hAnsi="Times New Roman" w:cs="Times New Roman"/>
                <w:sz w:val="20"/>
                <w:szCs w:val="20"/>
                <w:lang w:eastAsia="es-ES"/>
              </w:rPr>
              <w:t>)</w:t>
            </w:r>
          </w:p>
        </w:tc>
      </w:tr>
      <w:tr w:rsidR="007907D4" w:rsidRPr="000E48AA" w14:paraId="2FCC9AFA" w14:textId="77777777" w:rsidTr="007907D4">
        <w:trPr>
          <w:trHeight w:val="395"/>
          <w:jc w:val="center"/>
        </w:trPr>
        <w:tc>
          <w:tcPr>
            <w:tcW w:w="1798" w:type="dxa"/>
            <w:vMerge/>
            <w:tcBorders>
              <w:left w:val="single" w:sz="18" w:space="0" w:color="auto"/>
              <w:right w:val="single" w:sz="18" w:space="0" w:color="auto"/>
            </w:tcBorders>
            <w:shd w:val="clear" w:color="auto" w:fill="E7E6E6"/>
            <w:vAlign w:val="center"/>
          </w:tcPr>
          <w:p w14:paraId="27A704AF" w14:textId="77777777" w:rsidR="007907D4" w:rsidRDefault="007907D4" w:rsidP="007907D4">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E7E6E6"/>
            <w:vAlign w:val="center"/>
          </w:tcPr>
          <w:p w14:paraId="77A1040C" w14:textId="77777777" w:rsidR="00521375" w:rsidRPr="00521375" w:rsidRDefault="007907D4" w:rsidP="00521375">
            <w:pPr>
              <w:spacing w:before="40" w:after="20" w:line="200" w:lineRule="exact"/>
              <w:jc w:val="both"/>
              <w:rPr>
                <w:rFonts w:ascii="Times New Roman" w:eastAsia="Times New Roman" w:hAnsi="Times New Roman" w:cs="Times New Roman"/>
                <w:lang w:eastAsia="es-ES"/>
              </w:rPr>
            </w:pPr>
            <w:r w:rsidRPr="00521375">
              <w:rPr>
                <w:rFonts w:ascii="Times New Roman" w:eastAsia="Times New Roman" w:hAnsi="Times New Roman" w:cs="Times New Roman"/>
                <w:lang w:eastAsia="es-ES"/>
              </w:rPr>
              <w:t>Respecto a las herencias causadas y, en su caso, liquidadas antes del 1 de enero de 2022, la entrada en vigor del valor de referencia no debería plantear problemas, al menos nuevos, a los que ya se suscitaban anteriormente en relación a las particiones efectuadas tiempo después del fallecimiento.</w:t>
            </w:r>
          </w:p>
          <w:p w14:paraId="5E8BE555" w14:textId="77777777" w:rsidR="00521375" w:rsidRPr="00521375" w:rsidRDefault="007907D4" w:rsidP="00521375">
            <w:pPr>
              <w:spacing w:after="20" w:line="200" w:lineRule="exact"/>
              <w:jc w:val="both"/>
              <w:rPr>
                <w:rFonts w:ascii="Times New Roman" w:eastAsia="Times New Roman" w:hAnsi="Times New Roman" w:cs="Times New Roman"/>
                <w:lang w:eastAsia="es-ES"/>
              </w:rPr>
            </w:pPr>
            <w:r w:rsidRPr="00521375">
              <w:rPr>
                <w:rFonts w:ascii="Times New Roman" w:eastAsia="Times New Roman" w:hAnsi="Times New Roman" w:cs="Times New Roman"/>
                <w:lang w:eastAsia="es-ES"/>
              </w:rPr>
              <w:t>Conviene siempre aclarar que las valoraciones de la escritura, referidas a la fecha de la adjudicación, no desplazan  a las de la declaración fiscal, referidas a la fecha del devengo.</w:t>
            </w:r>
          </w:p>
          <w:p w14:paraId="4D6B7DF9" w14:textId="68FA1F33" w:rsidR="007907D4" w:rsidRPr="00521375" w:rsidRDefault="007907D4" w:rsidP="00521375">
            <w:pPr>
              <w:spacing w:before="40" w:after="20" w:line="200" w:lineRule="exact"/>
              <w:jc w:val="both"/>
              <w:rPr>
                <w:rFonts w:ascii="Times New Roman" w:eastAsia="Times New Roman" w:hAnsi="Times New Roman" w:cs="Times New Roman"/>
                <w:sz w:val="20"/>
                <w:szCs w:val="20"/>
                <w:lang w:eastAsia="es-ES"/>
              </w:rPr>
            </w:pPr>
            <w:r w:rsidRPr="00521375">
              <w:rPr>
                <w:rFonts w:ascii="Times New Roman" w:eastAsia="Times New Roman" w:hAnsi="Times New Roman" w:cs="Times New Roman"/>
                <w:lang w:eastAsia="es-ES"/>
              </w:rPr>
              <w:t>Y sin perjuicio de que puedan producirse excesos de adjudicación, pero no por la aplicación del valor de referencia sino por desproporciones en relación al título sucesorio.</w:t>
            </w:r>
          </w:p>
        </w:tc>
      </w:tr>
      <w:tr w:rsidR="007907D4" w:rsidRPr="000E48AA" w14:paraId="6ACE63EC" w14:textId="77777777" w:rsidTr="007907D4">
        <w:trPr>
          <w:trHeight w:val="394"/>
          <w:jc w:val="center"/>
        </w:trPr>
        <w:tc>
          <w:tcPr>
            <w:tcW w:w="1798" w:type="dxa"/>
            <w:vMerge/>
            <w:tcBorders>
              <w:left w:val="single" w:sz="18" w:space="0" w:color="auto"/>
              <w:bottom w:val="single" w:sz="12" w:space="0" w:color="auto"/>
              <w:right w:val="single" w:sz="18" w:space="0" w:color="auto"/>
            </w:tcBorders>
            <w:shd w:val="clear" w:color="auto" w:fill="E7E6E6"/>
            <w:vAlign w:val="center"/>
          </w:tcPr>
          <w:p w14:paraId="57623EFD" w14:textId="77777777" w:rsidR="007907D4" w:rsidRDefault="007907D4" w:rsidP="007907D4">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2" w:space="0" w:color="auto"/>
              <w:right w:val="single" w:sz="18" w:space="0" w:color="auto"/>
            </w:tcBorders>
            <w:shd w:val="clear" w:color="auto" w:fill="E7E6E6"/>
            <w:vAlign w:val="center"/>
          </w:tcPr>
          <w:p w14:paraId="6F174567" w14:textId="0AD1EEFA" w:rsidR="007907D4" w:rsidRPr="00521375" w:rsidRDefault="007907D4" w:rsidP="00521375">
            <w:pPr>
              <w:spacing w:before="20" w:after="60" w:line="200" w:lineRule="exact"/>
              <w:jc w:val="both"/>
              <w:rPr>
                <w:rFonts w:ascii="Times New Roman" w:eastAsia="Times New Roman" w:hAnsi="Times New Roman" w:cs="Times New Roman"/>
                <w:lang w:eastAsia="es-ES"/>
              </w:rPr>
            </w:pPr>
            <w:r w:rsidRPr="00521375">
              <w:rPr>
                <w:rFonts w:ascii="Times New Roman" w:eastAsia="Times New Roman" w:hAnsi="Times New Roman" w:cs="Times New Roman"/>
                <w:lang w:eastAsia="es-ES"/>
              </w:rPr>
              <w:t xml:space="preserve">Respecto a las herencias causadas desde del 1 de enero de 2022,  todos los preceptos relativos a los excesos de adjudicación siguen refiriéndose al valor declarado, salvo el </w:t>
            </w:r>
            <w:hyperlink r:id="rId35" w:anchor="a27" w:history="1">
              <w:r w:rsidRPr="00521375">
                <w:rPr>
                  <w:rStyle w:val="Hipervnculo"/>
                  <w:rFonts w:ascii="Times New Roman" w:eastAsia="Times New Roman" w:hAnsi="Times New Roman" w:cs="Times New Roman"/>
                  <w:lang w:eastAsia="es-ES"/>
                </w:rPr>
                <w:t>art. 27-3 LISyD</w:t>
              </w:r>
            </w:hyperlink>
            <w:r w:rsidRPr="00521375">
              <w:rPr>
                <w:rFonts w:ascii="Times New Roman" w:eastAsia="Times New Roman" w:hAnsi="Times New Roman" w:cs="Times New Roman"/>
                <w:lang w:eastAsia="es-ES"/>
              </w:rPr>
              <w:t xml:space="preserve"> cuando el valor de referencia exceda del 50% del valor que correspondería en virtud del título sucesorio </w:t>
            </w:r>
            <w:r w:rsidR="000B3C0F" w:rsidRPr="00521375">
              <w:rPr>
                <w:rFonts w:ascii="Times New Roman" w:eastAsia="Times New Roman" w:hAnsi="Times New Roman" w:cs="Times New Roman"/>
                <w:lang w:eastAsia="es-ES"/>
              </w:rPr>
              <w:t xml:space="preserve">[ver </w:t>
            </w:r>
            <w:r w:rsidR="000B3C0F" w:rsidRPr="00521375">
              <w:rPr>
                <w:rFonts w:ascii="Times New Roman" w:eastAsia="Times New Roman" w:hAnsi="Times New Roman" w:cs="Times New Roman"/>
                <w:sz w:val="18"/>
                <w:szCs w:val="18"/>
                <w:lang w:eastAsia="es-ES"/>
              </w:rPr>
              <w:t xml:space="preserve">APARTADO </w:t>
            </w:r>
            <w:r w:rsidR="00D653BA">
              <w:rPr>
                <w:rFonts w:ascii="Times New Roman" w:eastAsia="Times New Roman" w:hAnsi="Times New Roman" w:cs="Times New Roman"/>
                <w:sz w:val="18"/>
                <w:szCs w:val="18"/>
                <w:lang w:eastAsia="es-ES"/>
              </w:rPr>
              <w:t>5</w:t>
            </w:r>
            <w:r w:rsidRPr="00521375">
              <w:rPr>
                <w:rFonts w:ascii="Times New Roman" w:eastAsia="Times New Roman" w:hAnsi="Times New Roman" w:cs="Times New Roman"/>
                <w:lang w:eastAsia="es-ES"/>
              </w:rPr>
              <w:t>]</w:t>
            </w:r>
            <w:r w:rsidR="00521375">
              <w:rPr>
                <w:rFonts w:ascii="Times New Roman" w:eastAsia="Times New Roman" w:hAnsi="Times New Roman" w:cs="Times New Roman"/>
                <w:lang w:eastAsia="es-ES"/>
              </w:rPr>
              <w:t>.</w:t>
            </w:r>
          </w:p>
        </w:tc>
      </w:tr>
      <w:tr w:rsidR="007907D4" w:rsidRPr="000E48AA" w14:paraId="4895D8EB" w14:textId="77777777" w:rsidTr="007907D4">
        <w:trPr>
          <w:jc w:val="center"/>
        </w:trPr>
        <w:tc>
          <w:tcPr>
            <w:tcW w:w="1798" w:type="dxa"/>
            <w:tcBorders>
              <w:top w:val="single" w:sz="12" w:space="0" w:color="auto"/>
              <w:left w:val="single" w:sz="18" w:space="0" w:color="auto"/>
              <w:bottom w:val="single" w:sz="12" w:space="0" w:color="auto"/>
              <w:right w:val="single" w:sz="18" w:space="0" w:color="auto"/>
            </w:tcBorders>
            <w:shd w:val="clear" w:color="auto" w:fill="auto"/>
            <w:vAlign w:val="center"/>
          </w:tcPr>
          <w:p w14:paraId="0ADC36F8" w14:textId="77777777" w:rsidR="007907D4" w:rsidRPr="000E48AA" w:rsidRDefault="007907D4" w:rsidP="007907D4">
            <w:pPr>
              <w:spacing w:before="60" w:after="6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Donaciones</w:t>
            </w:r>
          </w:p>
        </w:tc>
        <w:tc>
          <w:tcPr>
            <w:tcW w:w="6660" w:type="dxa"/>
            <w:tcBorders>
              <w:top w:val="single" w:sz="12" w:space="0" w:color="auto"/>
              <w:left w:val="single" w:sz="18" w:space="0" w:color="auto"/>
              <w:bottom w:val="single" w:sz="12" w:space="0" w:color="auto"/>
              <w:right w:val="single" w:sz="18" w:space="0" w:color="auto"/>
            </w:tcBorders>
            <w:shd w:val="clear" w:color="auto" w:fill="auto"/>
            <w:vAlign w:val="center"/>
          </w:tcPr>
          <w:p w14:paraId="3D3580AA" w14:textId="77777777" w:rsidR="007907D4" w:rsidRPr="000E48AA" w:rsidRDefault="007907D4" w:rsidP="007907D4">
            <w:pPr>
              <w:spacing w:before="60" w:after="60" w:line="220" w:lineRule="exact"/>
              <w:jc w:val="center"/>
              <w:rPr>
                <w:rFonts w:ascii="Times New Roman" w:eastAsia="Times New Roman" w:hAnsi="Times New Roman" w:cs="Times New Roman"/>
                <w:sz w:val="24"/>
                <w:szCs w:val="24"/>
                <w:lang w:eastAsia="es-ES"/>
              </w:rPr>
            </w:pPr>
            <w:r w:rsidRPr="00CA3BB5">
              <w:rPr>
                <w:rFonts w:ascii="Times New Roman" w:eastAsia="Times New Roman" w:hAnsi="Times New Roman" w:cs="Times New Roman"/>
                <w:b/>
                <w:sz w:val="24"/>
                <w:szCs w:val="24"/>
                <w:lang w:eastAsia="es-ES"/>
              </w:rPr>
              <w:t>Valor de referencia</w:t>
            </w:r>
            <w:r>
              <w:rPr>
                <w:rFonts w:ascii="Times New Roman" w:eastAsia="Times New Roman" w:hAnsi="Times New Roman" w:cs="Times New Roman"/>
                <w:b/>
                <w:sz w:val="24"/>
                <w:szCs w:val="24"/>
                <w:lang w:eastAsia="es-ES"/>
              </w:rPr>
              <w:t xml:space="preserve"> </w:t>
            </w:r>
            <w:r w:rsidRPr="00261020">
              <w:rPr>
                <w:rFonts w:ascii="Times New Roman" w:eastAsia="Times New Roman" w:hAnsi="Times New Roman" w:cs="Times New Roman"/>
                <w:sz w:val="20"/>
                <w:szCs w:val="20"/>
                <w:lang w:eastAsia="es-ES"/>
              </w:rPr>
              <w:t>(</w:t>
            </w:r>
            <w:hyperlink r:id="rId36" w:anchor="c4s1" w:history="1">
              <w:r w:rsidRPr="00261020">
                <w:rPr>
                  <w:rStyle w:val="Hipervnculo"/>
                  <w:rFonts w:ascii="Times New Roman" w:eastAsia="Times New Roman" w:hAnsi="Times New Roman" w:cs="Times New Roman"/>
                  <w:sz w:val="20"/>
                  <w:szCs w:val="20"/>
                  <w:lang w:eastAsia="es-ES"/>
                </w:rPr>
                <w:t>art. 9-3 Ley 29/1987, reformado</w:t>
              </w:r>
            </w:hyperlink>
            <w:r w:rsidRPr="00261020">
              <w:rPr>
                <w:rFonts w:ascii="Times New Roman" w:eastAsia="Times New Roman" w:hAnsi="Times New Roman" w:cs="Times New Roman"/>
                <w:sz w:val="20"/>
                <w:szCs w:val="20"/>
                <w:lang w:eastAsia="es-ES"/>
              </w:rPr>
              <w:t>)</w:t>
            </w:r>
          </w:p>
        </w:tc>
      </w:tr>
      <w:tr w:rsidR="007907D4" w:rsidRPr="000E48AA" w14:paraId="4BAF23FC" w14:textId="77777777" w:rsidTr="007907D4">
        <w:trPr>
          <w:trHeight w:val="163"/>
          <w:jc w:val="center"/>
        </w:trPr>
        <w:tc>
          <w:tcPr>
            <w:tcW w:w="1798" w:type="dxa"/>
            <w:vMerge w:val="restart"/>
            <w:tcBorders>
              <w:top w:val="single" w:sz="12" w:space="0" w:color="auto"/>
              <w:left w:val="single" w:sz="18" w:space="0" w:color="auto"/>
              <w:right w:val="single" w:sz="18" w:space="0" w:color="auto"/>
            </w:tcBorders>
            <w:shd w:val="clear" w:color="auto" w:fill="E7E6E6" w:themeFill="background2"/>
            <w:vAlign w:val="center"/>
          </w:tcPr>
          <w:p w14:paraId="37AF7D13" w14:textId="77777777" w:rsidR="007907D4" w:rsidRPr="000E48AA" w:rsidRDefault="007907D4" w:rsidP="007907D4">
            <w:pPr>
              <w:spacing w:before="60" w:after="6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Patrimonio</w:t>
            </w:r>
          </w:p>
        </w:tc>
        <w:tc>
          <w:tcPr>
            <w:tcW w:w="6660" w:type="dxa"/>
            <w:tcBorders>
              <w:top w:val="single" w:sz="12" w:space="0" w:color="auto"/>
              <w:left w:val="single" w:sz="18" w:space="0" w:color="auto"/>
              <w:bottom w:val="single" w:sz="8" w:space="0" w:color="auto"/>
              <w:right w:val="single" w:sz="18" w:space="0" w:color="auto"/>
            </w:tcBorders>
            <w:shd w:val="clear" w:color="auto" w:fill="E7E6E6" w:themeFill="background2"/>
            <w:vAlign w:val="center"/>
          </w:tcPr>
          <w:p w14:paraId="625E033D" w14:textId="77777777" w:rsidR="007907D4" w:rsidRPr="000E48AA" w:rsidRDefault="007907D4" w:rsidP="00D653BA">
            <w:pPr>
              <w:spacing w:before="60" w:after="40" w:line="240" w:lineRule="auto"/>
              <w:jc w:val="center"/>
              <w:rPr>
                <w:rFonts w:ascii="Times New Roman" w:eastAsia="Times New Roman" w:hAnsi="Times New Roman" w:cs="Times New Roman"/>
                <w:sz w:val="24"/>
                <w:szCs w:val="24"/>
                <w:lang w:eastAsia="es-ES"/>
              </w:rPr>
            </w:pPr>
            <w:r w:rsidRPr="00D51E71">
              <w:rPr>
                <w:rFonts w:ascii="Times New Roman" w:eastAsia="Times New Roman" w:hAnsi="Times New Roman" w:cs="Times New Roman"/>
                <w:b/>
                <w:sz w:val="24"/>
                <w:szCs w:val="24"/>
                <w:lang w:eastAsia="es-ES"/>
              </w:rPr>
              <w:t>Valor de referencia</w:t>
            </w:r>
            <w:r>
              <w:rPr>
                <w:rFonts w:ascii="Times New Roman" w:eastAsia="Times New Roman" w:hAnsi="Times New Roman" w:cs="Times New Roman"/>
                <w:sz w:val="24"/>
                <w:szCs w:val="24"/>
                <w:lang w:eastAsia="es-ES"/>
              </w:rPr>
              <w:t xml:space="preserve"> </w:t>
            </w:r>
            <w:r w:rsidRPr="007D07D5">
              <w:rPr>
                <w:rFonts w:ascii="Times New Roman" w:eastAsia="Times New Roman" w:hAnsi="Times New Roman" w:cs="Times New Roman"/>
                <w:sz w:val="20"/>
                <w:szCs w:val="20"/>
                <w:lang w:eastAsia="es-ES"/>
              </w:rPr>
              <w:t>(</w:t>
            </w:r>
            <w:hyperlink r:id="rId37" w:anchor="a10" w:history="1">
              <w:r w:rsidRPr="007D07D5">
                <w:rPr>
                  <w:rStyle w:val="Hipervnculo"/>
                  <w:rFonts w:ascii="Times New Roman" w:eastAsia="Times New Roman" w:hAnsi="Times New Roman" w:cs="Times New Roman"/>
                  <w:sz w:val="20"/>
                  <w:szCs w:val="20"/>
                  <w:lang w:eastAsia="es-ES"/>
                </w:rPr>
                <w:t>art. 10-1 Ley 19/1991, reformado</w:t>
              </w:r>
            </w:hyperlink>
            <w:r w:rsidRPr="007D07D5">
              <w:rPr>
                <w:rFonts w:ascii="Times New Roman" w:eastAsia="Times New Roman" w:hAnsi="Times New Roman" w:cs="Times New Roman"/>
                <w:sz w:val="20"/>
                <w:szCs w:val="20"/>
                <w:lang w:eastAsia="es-ES"/>
              </w:rPr>
              <w:t>)</w:t>
            </w:r>
          </w:p>
        </w:tc>
      </w:tr>
      <w:tr w:rsidR="007907D4" w:rsidRPr="000E48AA" w14:paraId="295FB580" w14:textId="77777777" w:rsidTr="007907D4">
        <w:trPr>
          <w:trHeight w:val="163"/>
          <w:jc w:val="center"/>
        </w:trPr>
        <w:tc>
          <w:tcPr>
            <w:tcW w:w="1798" w:type="dxa"/>
            <w:vMerge/>
            <w:tcBorders>
              <w:left w:val="single" w:sz="18" w:space="0" w:color="auto"/>
              <w:bottom w:val="single" w:sz="18" w:space="0" w:color="auto"/>
              <w:right w:val="single" w:sz="18" w:space="0" w:color="auto"/>
            </w:tcBorders>
            <w:shd w:val="clear" w:color="auto" w:fill="E7E6E6" w:themeFill="background2"/>
            <w:vAlign w:val="center"/>
          </w:tcPr>
          <w:p w14:paraId="190458CF" w14:textId="77777777" w:rsidR="007907D4" w:rsidRDefault="007907D4" w:rsidP="007907D4">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8" w:space="0" w:color="auto"/>
              <w:right w:val="single" w:sz="18" w:space="0" w:color="auto"/>
            </w:tcBorders>
            <w:shd w:val="clear" w:color="auto" w:fill="E7E6E6" w:themeFill="background2"/>
            <w:vAlign w:val="center"/>
          </w:tcPr>
          <w:p w14:paraId="56CFC401" w14:textId="77777777" w:rsidR="007907D4" w:rsidRPr="00521375" w:rsidRDefault="007907D4" w:rsidP="00521375">
            <w:pPr>
              <w:autoSpaceDE w:val="0"/>
              <w:autoSpaceDN w:val="0"/>
              <w:adjustRightInd w:val="0"/>
              <w:spacing w:before="20" w:after="0" w:line="200" w:lineRule="exact"/>
              <w:jc w:val="both"/>
              <w:rPr>
                <w:rFonts w:ascii="Times New Roman" w:hAnsi="Times New Roman" w:cs="Times New Roman"/>
              </w:rPr>
            </w:pPr>
            <w:r w:rsidRPr="00521375">
              <w:rPr>
                <w:rFonts w:ascii="Times New Roman" w:hAnsi="Times New Roman" w:cs="Times New Roman"/>
              </w:rPr>
              <w:t>“</w:t>
            </w:r>
            <w:r w:rsidRPr="00521375">
              <w:rPr>
                <w:rFonts w:ascii="Times New Roman" w:hAnsi="Times New Roman" w:cs="Times New Roman"/>
                <w:i/>
              </w:rPr>
              <w:t>... el valor de referencia sólo podrá afectar al Impuesto sobre el Patrimonio en lo que se refiera a inmuebles adquiridos a partir de 1 de enero de 2022, en ningún caso al patrimonio preexistente...</w:t>
            </w:r>
            <w:r w:rsidRPr="00521375">
              <w:rPr>
                <w:rFonts w:ascii="Times New Roman" w:hAnsi="Times New Roman" w:cs="Times New Roman"/>
              </w:rPr>
              <w:t>” (</w:t>
            </w:r>
            <w:hyperlink r:id="rId38" w:anchor="vr" w:history="1">
              <w:r w:rsidRPr="00521375">
                <w:rPr>
                  <w:rStyle w:val="Hipervnculo"/>
                  <w:rFonts w:ascii="Times New Roman" w:hAnsi="Times New Roman" w:cs="Times New Roman"/>
                </w:rPr>
                <w:t>Preguntas y respuestas frecuentes de la SEC</w:t>
              </w:r>
            </w:hyperlink>
            <w:r w:rsidRPr="00521375">
              <w:rPr>
                <w:rFonts w:ascii="Times New Roman" w:hAnsi="Times New Roman" w:cs="Times New Roman"/>
              </w:rPr>
              <w:t>).</w:t>
            </w:r>
          </w:p>
          <w:p w14:paraId="7B9F4D26" w14:textId="77777777" w:rsidR="007907D4" w:rsidRPr="0022570A" w:rsidRDefault="007907D4" w:rsidP="00521375">
            <w:pPr>
              <w:autoSpaceDE w:val="0"/>
              <w:autoSpaceDN w:val="0"/>
              <w:adjustRightInd w:val="0"/>
              <w:spacing w:before="20" w:after="60" w:line="200" w:lineRule="exact"/>
              <w:jc w:val="both"/>
              <w:rPr>
                <w:rFonts w:ascii="Times New Roman" w:hAnsi="Times New Roman" w:cs="Times New Roman"/>
                <w:sz w:val="18"/>
                <w:szCs w:val="18"/>
              </w:rPr>
            </w:pPr>
            <w:r w:rsidRPr="00521375">
              <w:rPr>
                <w:rFonts w:ascii="Times New Roman" w:hAnsi="Times New Roman" w:cs="Times New Roman"/>
              </w:rPr>
              <w:t>En tal caso parece que será el correspondiente al año de adquisición, puesto que no se prevé su impugnación en el IP.</w:t>
            </w:r>
          </w:p>
        </w:tc>
      </w:tr>
    </w:tbl>
    <w:p w14:paraId="57C2AB5E" w14:textId="77777777" w:rsidR="005E715A" w:rsidRDefault="005E715A"/>
    <w:p w14:paraId="62351402" w14:textId="77777777" w:rsidR="007907D4" w:rsidRDefault="007907D4">
      <w:r>
        <w:br w:type="page"/>
      </w:r>
    </w:p>
    <w:p w14:paraId="294D68EB" w14:textId="77777777" w:rsidR="00882C78" w:rsidRDefault="00882C78"/>
    <w:p w14:paraId="19BED132" w14:textId="77777777" w:rsidR="001F739B" w:rsidRDefault="001F739B" w:rsidP="001F739B">
      <w:pPr>
        <w:spacing w:after="0" w:line="2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660"/>
      </w:tblGrid>
      <w:tr w:rsidR="001F739B" w:rsidRPr="000E48AA" w14:paraId="1D9A37E3" w14:textId="77777777" w:rsidTr="007A29BE">
        <w:trPr>
          <w:trHeight w:val="555"/>
          <w:jc w:val="center"/>
        </w:trPr>
        <w:tc>
          <w:tcPr>
            <w:tcW w:w="1798" w:type="dxa"/>
            <w:tcBorders>
              <w:top w:val="single" w:sz="18" w:space="0" w:color="FFFFFF"/>
              <w:left w:val="single" w:sz="18" w:space="0" w:color="FFFFFF"/>
              <w:bottom w:val="single" w:sz="18" w:space="0" w:color="auto"/>
              <w:right w:val="single" w:sz="18" w:space="0" w:color="auto"/>
            </w:tcBorders>
            <w:shd w:val="clear" w:color="auto" w:fill="FFFFFF"/>
          </w:tcPr>
          <w:p w14:paraId="486C2C20" w14:textId="77777777" w:rsidR="001F739B" w:rsidRDefault="001F739B" w:rsidP="001F739B">
            <w:pPr>
              <w:spacing w:after="0" w:line="240" w:lineRule="auto"/>
              <w:jc w:val="center"/>
              <w:rPr>
                <w:rFonts w:ascii="Times New Roman" w:eastAsia="Times New Roman" w:hAnsi="Times New Roman" w:cs="Times New Roman"/>
                <w:sz w:val="24"/>
                <w:szCs w:val="24"/>
                <w:lang w:eastAsia="es-ES"/>
              </w:rPr>
            </w:pPr>
          </w:p>
          <w:p w14:paraId="78E5B3F8" w14:textId="77777777" w:rsidR="001F739B" w:rsidRDefault="001F739B" w:rsidP="001F739B">
            <w:pPr>
              <w:spacing w:after="0" w:line="240" w:lineRule="auto"/>
              <w:jc w:val="center"/>
              <w:rPr>
                <w:rFonts w:ascii="Times New Roman" w:eastAsia="Times New Roman" w:hAnsi="Times New Roman" w:cs="Times New Roman"/>
                <w:sz w:val="24"/>
                <w:szCs w:val="24"/>
                <w:lang w:eastAsia="es-ES"/>
              </w:rPr>
            </w:pPr>
          </w:p>
          <w:p w14:paraId="1F3623F6" w14:textId="77777777" w:rsidR="001F739B" w:rsidRPr="000E48AA" w:rsidRDefault="001F739B" w:rsidP="001F739B">
            <w:pPr>
              <w:spacing w:after="0" w:line="240" w:lineRule="auto"/>
              <w:jc w:val="center"/>
              <w:rPr>
                <w:rFonts w:ascii="Times New Roman" w:eastAsia="Times New Roman" w:hAnsi="Times New Roman" w:cs="Times New Roman"/>
                <w:sz w:val="24"/>
                <w:szCs w:val="24"/>
                <w:lang w:eastAsia="es-ES"/>
              </w:rPr>
            </w:pPr>
          </w:p>
        </w:tc>
        <w:tc>
          <w:tcPr>
            <w:tcW w:w="6660" w:type="dxa"/>
            <w:tcBorders>
              <w:top w:val="single" w:sz="18" w:space="0" w:color="auto"/>
              <w:left w:val="single" w:sz="18" w:space="0" w:color="auto"/>
              <w:bottom w:val="single" w:sz="18" w:space="0" w:color="auto"/>
              <w:right w:val="single" w:sz="18" w:space="0" w:color="auto"/>
            </w:tcBorders>
            <w:shd w:val="clear" w:color="auto" w:fill="CCCCCC"/>
            <w:vAlign w:val="center"/>
          </w:tcPr>
          <w:p w14:paraId="7B0E595F" w14:textId="77777777" w:rsidR="00C70EA4" w:rsidRPr="007D4111" w:rsidRDefault="00D036C6" w:rsidP="00807660">
            <w:pPr>
              <w:spacing w:before="60" w:after="60" w:line="240" w:lineRule="exact"/>
              <w:jc w:val="center"/>
              <w:rPr>
                <w:rFonts w:ascii="Times New Roman" w:eastAsia="Times New Roman" w:hAnsi="Times New Roman" w:cs="Times New Roman"/>
                <w:b/>
                <w:color w:val="000000"/>
                <w:sz w:val="26"/>
                <w:szCs w:val="26"/>
                <w:lang w:eastAsia="es-ES"/>
              </w:rPr>
            </w:pPr>
            <w:r>
              <w:rPr>
                <w:rFonts w:ascii="Times New Roman" w:eastAsia="Times New Roman" w:hAnsi="Times New Roman" w:cs="Times New Roman"/>
                <w:b/>
                <w:color w:val="000000"/>
                <w:sz w:val="26"/>
                <w:szCs w:val="26"/>
                <w:lang w:eastAsia="es-ES"/>
              </w:rPr>
              <w:t>3</w:t>
            </w:r>
            <w:r w:rsidR="00836BCF" w:rsidRPr="007D4111">
              <w:rPr>
                <w:rFonts w:ascii="Times New Roman" w:eastAsia="Times New Roman" w:hAnsi="Times New Roman" w:cs="Times New Roman"/>
                <w:b/>
                <w:color w:val="000000"/>
                <w:sz w:val="26"/>
                <w:szCs w:val="26"/>
                <w:lang w:eastAsia="es-ES"/>
              </w:rPr>
              <w:t xml:space="preserve">. </w:t>
            </w:r>
            <w:bookmarkStart w:id="3" w:name="NOAFECTADOS"/>
            <w:bookmarkEnd w:id="3"/>
            <w:r w:rsidR="00C70EA4" w:rsidRPr="007D4111">
              <w:rPr>
                <w:rFonts w:ascii="Times New Roman" w:eastAsia="Times New Roman" w:hAnsi="Times New Roman" w:cs="Times New Roman"/>
                <w:b/>
                <w:color w:val="000000"/>
                <w:sz w:val="26"/>
                <w:szCs w:val="26"/>
                <w:lang w:eastAsia="es-ES"/>
              </w:rPr>
              <w:t>IMPUESTOS</w:t>
            </w:r>
            <w:r w:rsidR="001F739B" w:rsidRPr="007D4111">
              <w:rPr>
                <w:rFonts w:ascii="Times New Roman" w:eastAsia="Times New Roman" w:hAnsi="Times New Roman" w:cs="Times New Roman"/>
                <w:b/>
                <w:color w:val="000000"/>
                <w:sz w:val="26"/>
                <w:szCs w:val="26"/>
                <w:lang w:eastAsia="es-ES"/>
              </w:rPr>
              <w:t xml:space="preserve"> NO AFECTADOS</w:t>
            </w:r>
            <w:r w:rsidR="00DC49A7" w:rsidRPr="007D4111">
              <w:rPr>
                <w:rFonts w:ascii="Times New Roman" w:eastAsia="Times New Roman" w:hAnsi="Times New Roman" w:cs="Times New Roman"/>
                <w:b/>
                <w:color w:val="000000"/>
                <w:sz w:val="26"/>
                <w:szCs w:val="26"/>
                <w:lang w:eastAsia="es-ES"/>
              </w:rPr>
              <w:t xml:space="preserve"> </w:t>
            </w:r>
            <w:r w:rsidR="007D4111" w:rsidRPr="007D4111">
              <w:rPr>
                <w:rFonts w:ascii="Times New Roman" w:eastAsia="Times New Roman" w:hAnsi="Times New Roman" w:cs="Times New Roman"/>
                <w:b/>
                <w:color w:val="000000"/>
                <w:sz w:val="26"/>
                <w:szCs w:val="26"/>
                <w:lang w:eastAsia="es-ES"/>
              </w:rPr>
              <w:t>DIRECTAMENTE</w:t>
            </w:r>
          </w:p>
          <w:p w14:paraId="70879CE0" w14:textId="77777777" w:rsidR="001F739B" w:rsidRPr="00C70EA4" w:rsidRDefault="001F739B" w:rsidP="00807660">
            <w:pPr>
              <w:spacing w:before="60" w:after="60" w:line="240" w:lineRule="exact"/>
              <w:jc w:val="center"/>
              <w:rPr>
                <w:rFonts w:ascii="Times New Roman" w:eastAsia="Times New Roman" w:hAnsi="Times New Roman" w:cs="Times New Roman"/>
                <w:b/>
                <w:color w:val="000000"/>
                <w:sz w:val="28"/>
                <w:szCs w:val="28"/>
                <w:lang w:eastAsia="es-ES"/>
              </w:rPr>
            </w:pPr>
            <w:r w:rsidRPr="007D4111">
              <w:rPr>
                <w:rFonts w:ascii="Times New Roman" w:eastAsia="Times New Roman" w:hAnsi="Times New Roman" w:cs="Times New Roman"/>
                <w:b/>
                <w:color w:val="000000"/>
                <w:sz w:val="26"/>
                <w:szCs w:val="26"/>
                <w:lang w:eastAsia="es-ES"/>
              </w:rPr>
              <w:t>POR EL VALOR DE REFERENCIA</w:t>
            </w:r>
          </w:p>
        </w:tc>
      </w:tr>
      <w:tr w:rsidR="001F739B" w:rsidRPr="000E48AA" w14:paraId="0EE6A9F9" w14:textId="77777777" w:rsidTr="001370C6">
        <w:trPr>
          <w:trHeight w:val="163"/>
          <w:jc w:val="center"/>
        </w:trPr>
        <w:tc>
          <w:tcPr>
            <w:tcW w:w="1798" w:type="dxa"/>
            <w:vMerge w:val="restart"/>
            <w:tcBorders>
              <w:top w:val="single" w:sz="18" w:space="0" w:color="auto"/>
              <w:left w:val="single" w:sz="18" w:space="0" w:color="auto"/>
              <w:right w:val="single" w:sz="18" w:space="0" w:color="auto"/>
            </w:tcBorders>
            <w:shd w:val="clear" w:color="auto" w:fill="auto"/>
            <w:vAlign w:val="center"/>
          </w:tcPr>
          <w:p w14:paraId="405EB257" w14:textId="77777777" w:rsidR="001F739B" w:rsidRPr="000E48AA" w:rsidRDefault="001F739B" w:rsidP="001F739B">
            <w:pPr>
              <w:spacing w:before="60" w:after="6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IVA</w:t>
            </w:r>
          </w:p>
        </w:tc>
        <w:tc>
          <w:tcPr>
            <w:tcW w:w="6660" w:type="dxa"/>
            <w:tcBorders>
              <w:top w:val="single" w:sz="18" w:space="0" w:color="auto"/>
              <w:left w:val="single" w:sz="18" w:space="0" w:color="auto"/>
              <w:bottom w:val="single" w:sz="8" w:space="0" w:color="auto"/>
              <w:right w:val="single" w:sz="18" w:space="0" w:color="auto"/>
            </w:tcBorders>
            <w:shd w:val="clear" w:color="auto" w:fill="auto"/>
            <w:vAlign w:val="center"/>
          </w:tcPr>
          <w:p w14:paraId="0BEC9A43" w14:textId="77777777" w:rsidR="001F739B" w:rsidRPr="00F747E9" w:rsidRDefault="001F739B" w:rsidP="001F739B">
            <w:pPr>
              <w:spacing w:before="60" w:after="4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Importe contraprestación </w:t>
            </w:r>
            <w:r w:rsidRPr="00261020">
              <w:rPr>
                <w:rFonts w:ascii="Times New Roman" w:eastAsia="Times New Roman" w:hAnsi="Times New Roman" w:cs="Times New Roman"/>
                <w:sz w:val="20"/>
                <w:szCs w:val="20"/>
                <w:lang w:eastAsia="es-ES"/>
              </w:rPr>
              <w:t>(</w:t>
            </w:r>
            <w:hyperlink r:id="rId39" w:anchor="a78" w:history="1">
              <w:r w:rsidRPr="00261020">
                <w:rPr>
                  <w:rStyle w:val="Hipervnculo"/>
                  <w:rFonts w:ascii="Times New Roman" w:eastAsia="Times New Roman" w:hAnsi="Times New Roman" w:cs="Times New Roman"/>
                  <w:sz w:val="20"/>
                  <w:szCs w:val="20"/>
                  <w:lang w:eastAsia="es-ES"/>
                </w:rPr>
                <w:t>art. 78 Ley 37/1992</w:t>
              </w:r>
            </w:hyperlink>
            <w:r w:rsidRPr="00261020">
              <w:rPr>
                <w:rFonts w:ascii="Times New Roman" w:eastAsia="Times New Roman" w:hAnsi="Times New Roman" w:cs="Times New Roman"/>
                <w:sz w:val="20"/>
                <w:szCs w:val="20"/>
                <w:lang w:eastAsia="es-ES"/>
              </w:rPr>
              <w:t>)</w:t>
            </w:r>
          </w:p>
        </w:tc>
      </w:tr>
      <w:tr w:rsidR="001F739B" w:rsidRPr="000E48AA" w14:paraId="0E0C82DF" w14:textId="77777777" w:rsidTr="001F739B">
        <w:trPr>
          <w:trHeight w:val="163"/>
          <w:jc w:val="center"/>
        </w:trPr>
        <w:tc>
          <w:tcPr>
            <w:tcW w:w="1798" w:type="dxa"/>
            <w:vMerge/>
            <w:tcBorders>
              <w:left w:val="single" w:sz="18" w:space="0" w:color="auto"/>
              <w:bottom w:val="single" w:sz="12" w:space="0" w:color="auto"/>
              <w:right w:val="single" w:sz="18" w:space="0" w:color="auto"/>
            </w:tcBorders>
            <w:shd w:val="clear" w:color="auto" w:fill="auto"/>
            <w:vAlign w:val="center"/>
          </w:tcPr>
          <w:p w14:paraId="421380AF" w14:textId="77777777" w:rsidR="001F739B" w:rsidRDefault="001F739B" w:rsidP="001F739B">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2" w:space="0" w:color="auto"/>
              <w:right w:val="single" w:sz="18" w:space="0" w:color="auto"/>
            </w:tcBorders>
            <w:shd w:val="clear" w:color="auto" w:fill="auto"/>
            <w:vAlign w:val="center"/>
          </w:tcPr>
          <w:p w14:paraId="013CA181" w14:textId="77777777" w:rsidR="001F739B" w:rsidRPr="00C91FE2" w:rsidRDefault="001F739B" w:rsidP="005D60C8">
            <w:pPr>
              <w:spacing w:before="40" w:after="60" w:line="180" w:lineRule="exact"/>
              <w:jc w:val="center"/>
              <w:rPr>
                <w:rFonts w:ascii="Times New Roman" w:eastAsia="Times New Roman" w:hAnsi="Times New Roman" w:cs="Times New Roman"/>
                <w:sz w:val="20"/>
                <w:szCs w:val="20"/>
                <w:lang w:eastAsia="es-ES"/>
              </w:rPr>
            </w:pPr>
            <w:r w:rsidRPr="00C91FE2">
              <w:rPr>
                <w:rFonts w:ascii="Times New Roman" w:eastAsia="Times New Roman" w:hAnsi="Times New Roman" w:cs="Times New Roman"/>
                <w:sz w:val="20"/>
                <w:szCs w:val="20"/>
                <w:lang w:eastAsia="es-ES"/>
              </w:rPr>
              <w:t>Siendo compatibles, podría darse el caso de que la base imponible del IVA fuese distinta a la del IAJD; muy frecuentemente en los supuestos de renuncia a la exención de IVA, en los que se suele contar ya con un valor de referencia</w:t>
            </w:r>
          </w:p>
        </w:tc>
      </w:tr>
      <w:tr w:rsidR="00141777" w:rsidRPr="000E48AA" w14:paraId="742FB3C1" w14:textId="77777777" w:rsidTr="001F739B">
        <w:trPr>
          <w:trHeight w:val="282"/>
          <w:jc w:val="center"/>
        </w:trPr>
        <w:tc>
          <w:tcPr>
            <w:tcW w:w="1798" w:type="dxa"/>
            <w:vMerge w:val="restart"/>
            <w:tcBorders>
              <w:top w:val="single" w:sz="12" w:space="0" w:color="auto"/>
              <w:left w:val="single" w:sz="18" w:space="0" w:color="auto"/>
              <w:right w:val="single" w:sz="18" w:space="0" w:color="auto"/>
            </w:tcBorders>
            <w:shd w:val="clear" w:color="auto" w:fill="E7E6E6" w:themeFill="background2"/>
            <w:vAlign w:val="center"/>
          </w:tcPr>
          <w:p w14:paraId="1105508D" w14:textId="77777777" w:rsidR="00141777" w:rsidRDefault="00141777" w:rsidP="001F739B">
            <w:pPr>
              <w:spacing w:before="60" w:after="6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IIVTNU</w:t>
            </w:r>
          </w:p>
        </w:tc>
        <w:tc>
          <w:tcPr>
            <w:tcW w:w="6660" w:type="dxa"/>
            <w:tcBorders>
              <w:top w:val="single" w:sz="12" w:space="0" w:color="auto"/>
              <w:left w:val="single" w:sz="18" w:space="0" w:color="auto"/>
              <w:bottom w:val="single" w:sz="8" w:space="0" w:color="auto"/>
              <w:right w:val="single" w:sz="18" w:space="0" w:color="auto"/>
            </w:tcBorders>
            <w:shd w:val="clear" w:color="auto" w:fill="E7E6E6" w:themeFill="background2"/>
            <w:vAlign w:val="center"/>
          </w:tcPr>
          <w:p w14:paraId="13EFDE4C" w14:textId="77777777" w:rsidR="00141777" w:rsidRPr="00321CF6" w:rsidRDefault="00141777" w:rsidP="001F739B">
            <w:pPr>
              <w:spacing w:before="60" w:after="40" w:line="200" w:lineRule="exact"/>
              <w:jc w:val="center"/>
              <w:rPr>
                <w:rFonts w:ascii="Times New Roman" w:eastAsia="Times New Roman" w:hAnsi="Times New Roman" w:cs="Times New Roman"/>
                <w:b/>
                <w:sz w:val="20"/>
                <w:szCs w:val="20"/>
                <w:lang w:eastAsia="es-ES"/>
              </w:rPr>
            </w:pPr>
            <w:r w:rsidRPr="00F43C20">
              <w:rPr>
                <w:rFonts w:ascii="Times New Roman" w:eastAsia="Times New Roman" w:hAnsi="Times New Roman" w:cs="Times New Roman"/>
                <w:b/>
                <w:sz w:val="20"/>
                <w:szCs w:val="20"/>
                <w:lang w:eastAsia="es-ES"/>
              </w:rPr>
              <w:t>Menor entre valor catastral por coeficiente o diferencia entre valores nominales de transmisión y adquisición</w:t>
            </w:r>
            <w:r w:rsidRPr="00321CF6">
              <w:rPr>
                <w:rFonts w:ascii="Times New Roman" w:eastAsia="Times New Roman" w:hAnsi="Times New Roman" w:cs="Times New Roman"/>
                <w:b/>
                <w:sz w:val="20"/>
                <w:szCs w:val="20"/>
                <w:lang w:eastAsia="es-ES"/>
              </w:rPr>
              <w:t xml:space="preserve"> </w:t>
            </w:r>
            <w:r w:rsidRPr="00321CF6">
              <w:rPr>
                <w:rFonts w:ascii="Times New Roman" w:eastAsia="Times New Roman" w:hAnsi="Times New Roman" w:cs="Times New Roman"/>
                <w:sz w:val="20"/>
                <w:szCs w:val="20"/>
                <w:lang w:eastAsia="es-ES"/>
              </w:rPr>
              <w:t>(</w:t>
            </w:r>
            <w:hyperlink r:id="rId40" w:anchor="a107" w:history="1">
              <w:r w:rsidRPr="00417A45">
                <w:rPr>
                  <w:rStyle w:val="Hipervnculo"/>
                  <w:rFonts w:ascii="Times New Roman" w:eastAsia="Times New Roman" w:hAnsi="Times New Roman" w:cs="Times New Roman"/>
                  <w:sz w:val="20"/>
                  <w:szCs w:val="20"/>
                  <w:lang w:eastAsia="es-ES"/>
                </w:rPr>
                <w:t>arts. 104-5 y 107 D-leg 2/2004</w:t>
              </w:r>
            </w:hyperlink>
            <w:r w:rsidRPr="00321CF6">
              <w:rPr>
                <w:rFonts w:ascii="Times New Roman" w:eastAsia="Times New Roman" w:hAnsi="Times New Roman" w:cs="Times New Roman"/>
                <w:sz w:val="20"/>
                <w:szCs w:val="20"/>
                <w:lang w:eastAsia="es-ES"/>
              </w:rPr>
              <w:t>)</w:t>
            </w:r>
          </w:p>
        </w:tc>
      </w:tr>
      <w:tr w:rsidR="00141777" w:rsidRPr="000E48AA" w14:paraId="6D5B8BB8" w14:textId="77777777" w:rsidTr="00141777">
        <w:trPr>
          <w:trHeight w:val="182"/>
          <w:jc w:val="center"/>
        </w:trPr>
        <w:tc>
          <w:tcPr>
            <w:tcW w:w="1798" w:type="dxa"/>
            <w:vMerge/>
            <w:tcBorders>
              <w:left w:val="single" w:sz="18" w:space="0" w:color="auto"/>
              <w:right w:val="single" w:sz="18" w:space="0" w:color="auto"/>
            </w:tcBorders>
            <w:shd w:val="clear" w:color="auto" w:fill="E7E6E6" w:themeFill="background2"/>
            <w:vAlign w:val="center"/>
          </w:tcPr>
          <w:p w14:paraId="650FE6C3" w14:textId="77777777" w:rsidR="00141777" w:rsidRDefault="00141777" w:rsidP="001F739B">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E7E6E6" w:themeFill="background2"/>
            <w:vAlign w:val="center"/>
          </w:tcPr>
          <w:p w14:paraId="2E14C1CC" w14:textId="77777777" w:rsidR="00141777" w:rsidRPr="001728AE" w:rsidRDefault="00141777" w:rsidP="001F739B">
            <w:pPr>
              <w:spacing w:before="20" w:after="60" w:line="180" w:lineRule="exact"/>
              <w:jc w:val="center"/>
              <w:rPr>
                <w:rFonts w:ascii="Times New Roman" w:eastAsia="Times New Roman" w:hAnsi="Times New Roman" w:cs="Times New Roman"/>
                <w:sz w:val="20"/>
                <w:szCs w:val="20"/>
                <w:lang w:eastAsia="es-ES"/>
              </w:rPr>
            </w:pPr>
            <w:r w:rsidRPr="001728AE">
              <w:rPr>
                <w:rFonts w:ascii="Times New Roman" w:eastAsia="Times New Roman" w:hAnsi="Times New Roman" w:cs="Times New Roman"/>
                <w:sz w:val="20"/>
                <w:szCs w:val="20"/>
                <w:lang w:eastAsia="es-ES"/>
              </w:rPr>
              <w:t>Indirectamente el val</w:t>
            </w:r>
            <w:r>
              <w:rPr>
                <w:rFonts w:ascii="Times New Roman" w:eastAsia="Times New Roman" w:hAnsi="Times New Roman" w:cs="Times New Roman"/>
                <w:sz w:val="20"/>
                <w:szCs w:val="20"/>
                <w:lang w:eastAsia="es-ES"/>
              </w:rPr>
              <w:t xml:space="preserve">or de referencia influirá en la valoración de las </w:t>
            </w:r>
            <w:r w:rsidRPr="001728AE">
              <w:rPr>
                <w:rFonts w:ascii="Times New Roman" w:eastAsia="Times New Roman" w:hAnsi="Times New Roman" w:cs="Times New Roman"/>
                <w:sz w:val="20"/>
                <w:szCs w:val="20"/>
                <w:lang w:eastAsia="es-ES"/>
              </w:rPr>
              <w:t xml:space="preserve">adquisiciones y </w:t>
            </w:r>
            <w:r>
              <w:rPr>
                <w:rFonts w:ascii="Times New Roman" w:eastAsia="Times New Roman" w:hAnsi="Times New Roman" w:cs="Times New Roman"/>
                <w:sz w:val="20"/>
                <w:szCs w:val="20"/>
                <w:lang w:eastAsia="es-ES"/>
              </w:rPr>
              <w:t>transmisiones gratuitas producidas a partir del 01/01/2022</w:t>
            </w:r>
          </w:p>
        </w:tc>
      </w:tr>
      <w:tr w:rsidR="00141777" w:rsidRPr="000E48AA" w14:paraId="3A4837CB" w14:textId="77777777" w:rsidTr="001F739B">
        <w:trPr>
          <w:trHeight w:val="181"/>
          <w:jc w:val="center"/>
        </w:trPr>
        <w:tc>
          <w:tcPr>
            <w:tcW w:w="1798" w:type="dxa"/>
            <w:vMerge/>
            <w:tcBorders>
              <w:left w:val="single" w:sz="18" w:space="0" w:color="auto"/>
              <w:bottom w:val="single" w:sz="12" w:space="0" w:color="auto"/>
              <w:right w:val="single" w:sz="18" w:space="0" w:color="auto"/>
            </w:tcBorders>
            <w:shd w:val="clear" w:color="auto" w:fill="E7E6E6" w:themeFill="background2"/>
            <w:vAlign w:val="center"/>
          </w:tcPr>
          <w:p w14:paraId="6C0BFF29" w14:textId="77777777" w:rsidR="00141777" w:rsidRDefault="00141777" w:rsidP="001F739B">
            <w:pPr>
              <w:spacing w:before="60" w:after="6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2" w:space="0" w:color="auto"/>
              <w:right w:val="single" w:sz="18" w:space="0" w:color="auto"/>
            </w:tcBorders>
            <w:shd w:val="clear" w:color="auto" w:fill="E7E6E6" w:themeFill="background2"/>
            <w:vAlign w:val="center"/>
          </w:tcPr>
          <w:p w14:paraId="2348C8B3" w14:textId="77777777" w:rsidR="00141777" w:rsidRPr="00807660" w:rsidRDefault="00403894" w:rsidP="004A6958">
            <w:pPr>
              <w:spacing w:before="40" w:after="60" w:line="160" w:lineRule="exact"/>
              <w:jc w:val="center"/>
              <w:rPr>
                <w:rFonts w:ascii="Times New Roman" w:eastAsia="Times New Roman" w:hAnsi="Times New Roman" w:cs="Times New Roman"/>
                <w:sz w:val="18"/>
                <w:szCs w:val="18"/>
                <w:lang w:eastAsia="es-ES"/>
              </w:rPr>
            </w:pPr>
            <w:r w:rsidRPr="00807660">
              <w:rPr>
                <w:rFonts w:ascii="Times New Roman" w:eastAsia="Times New Roman" w:hAnsi="Times New Roman" w:cs="Times New Roman"/>
                <w:sz w:val="18"/>
                <w:szCs w:val="18"/>
                <w:lang w:eastAsia="es-ES"/>
              </w:rPr>
              <w:t xml:space="preserve">Para la </w:t>
            </w:r>
            <w:hyperlink r:id="rId41" w:history="1">
              <w:r w:rsidRPr="00807660">
                <w:rPr>
                  <w:rStyle w:val="Hipervnculo"/>
                  <w:rFonts w:ascii="Times New Roman" w:eastAsia="Times New Roman" w:hAnsi="Times New Roman" w:cs="Times New Roman"/>
                  <w:sz w:val="18"/>
                  <w:szCs w:val="18"/>
                  <w:lang w:eastAsia="es-ES"/>
                </w:rPr>
                <w:t>Resolución DGT de 4 de julio de 2023</w:t>
              </w:r>
            </w:hyperlink>
            <w:r w:rsidRPr="00807660">
              <w:rPr>
                <w:rFonts w:ascii="Times New Roman" w:eastAsia="Times New Roman" w:hAnsi="Times New Roman" w:cs="Times New Roman"/>
                <w:sz w:val="18"/>
                <w:szCs w:val="18"/>
                <w:lang w:eastAsia="es-ES"/>
              </w:rPr>
              <w:t xml:space="preserve"> en caso de transmisión (se entiende por una misma persona, por ejemplo viudo con 1/2 ganancial y 1/2 hereditario) se suman los respectivos valores de adquisición para determinar la ganancia o pérdida, y sólo después el resultado se divide proporcionalmente y se toma en cuenta su plazo de generación</w:t>
            </w:r>
          </w:p>
        </w:tc>
      </w:tr>
      <w:tr w:rsidR="003D3EEE" w:rsidRPr="000E48AA" w14:paraId="1E835EA5" w14:textId="77777777" w:rsidTr="00175CB8">
        <w:trPr>
          <w:trHeight w:val="548"/>
          <w:jc w:val="center"/>
        </w:trPr>
        <w:tc>
          <w:tcPr>
            <w:tcW w:w="1798" w:type="dxa"/>
            <w:vMerge w:val="restart"/>
            <w:tcBorders>
              <w:top w:val="single" w:sz="12" w:space="0" w:color="auto"/>
              <w:left w:val="single" w:sz="18" w:space="0" w:color="auto"/>
              <w:right w:val="single" w:sz="18" w:space="0" w:color="auto"/>
            </w:tcBorders>
            <w:shd w:val="clear" w:color="auto" w:fill="FFFFFF" w:themeFill="background1"/>
            <w:vAlign w:val="center"/>
          </w:tcPr>
          <w:p w14:paraId="7F914C7F" w14:textId="77777777" w:rsidR="003D3EEE" w:rsidRDefault="003D3EEE" w:rsidP="00A7689C">
            <w:pPr>
              <w:spacing w:before="60"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 IRPF</w:t>
            </w:r>
          </w:p>
          <w:p w14:paraId="0430979B" w14:textId="77777777" w:rsidR="003D3EEE" w:rsidRPr="00922CDD" w:rsidRDefault="003D3EEE" w:rsidP="00A7689C">
            <w:pPr>
              <w:spacing w:after="60" w:line="240" w:lineRule="auto"/>
              <w:jc w:val="center"/>
              <w:rPr>
                <w:rFonts w:ascii="Times New Roman" w:eastAsia="Times New Roman" w:hAnsi="Times New Roman" w:cs="Times New Roman"/>
                <w:b/>
                <w:sz w:val="18"/>
                <w:szCs w:val="18"/>
                <w:lang w:eastAsia="es-ES"/>
              </w:rPr>
            </w:pPr>
            <w:r w:rsidRPr="00922CDD">
              <w:rPr>
                <w:rFonts w:ascii="Times New Roman" w:eastAsia="Times New Roman" w:hAnsi="Times New Roman" w:cs="Times New Roman"/>
                <w:b/>
                <w:sz w:val="18"/>
                <w:szCs w:val="18"/>
                <w:lang w:eastAsia="es-ES"/>
              </w:rPr>
              <w:t>Ganancia o pérdida</w:t>
            </w:r>
          </w:p>
        </w:tc>
        <w:tc>
          <w:tcPr>
            <w:tcW w:w="6660" w:type="dxa"/>
            <w:tcBorders>
              <w:top w:val="single" w:sz="12" w:space="0" w:color="auto"/>
              <w:left w:val="single" w:sz="18" w:space="0" w:color="auto"/>
              <w:bottom w:val="single" w:sz="6" w:space="0" w:color="auto"/>
              <w:right w:val="single" w:sz="18" w:space="0" w:color="auto"/>
            </w:tcBorders>
            <w:shd w:val="clear" w:color="auto" w:fill="FFFFFF" w:themeFill="background1"/>
            <w:vAlign w:val="center"/>
          </w:tcPr>
          <w:p w14:paraId="5734C556" w14:textId="77777777" w:rsidR="003D3EEE" w:rsidRPr="00175CB8" w:rsidRDefault="003D3EEE" w:rsidP="00DE287B">
            <w:pPr>
              <w:autoSpaceDE w:val="0"/>
              <w:autoSpaceDN w:val="0"/>
              <w:adjustRightInd w:val="0"/>
              <w:spacing w:before="60" w:after="40" w:line="180" w:lineRule="exact"/>
              <w:jc w:val="center"/>
              <w:rPr>
                <w:rFonts w:ascii="Times New Roman" w:eastAsia="Times New Roman" w:hAnsi="Times New Roman" w:cs="Times New Roman"/>
                <w:sz w:val="18"/>
                <w:szCs w:val="18"/>
                <w:lang w:eastAsia="es-ES"/>
              </w:rPr>
            </w:pPr>
            <w:r w:rsidRPr="002456B0">
              <w:rPr>
                <w:rFonts w:ascii="Times New Roman" w:hAnsi="Times New Roman" w:cs="Times New Roman"/>
                <w:b/>
                <w:sz w:val="20"/>
                <w:szCs w:val="20"/>
              </w:rPr>
              <w:t>El importe de las ganancias o pérdidas patrimoniales será la diferencia entre los valores de adquisición y transmisión, incluyendo gastos e impuestos</w:t>
            </w:r>
            <w:r w:rsidRPr="002456B0">
              <w:rPr>
                <w:rFonts w:ascii="Times New Roman" w:eastAsia="Times New Roman" w:hAnsi="Times New Roman" w:cs="Times New Roman"/>
                <w:sz w:val="20"/>
                <w:szCs w:val="20"/>
                <w:lang w:eastAsia="es-ES"/>
              </w:rPr>
              <w:t>,</w:t>
            </w:r>
            <w:r w:rsidRPr="002456B0">
              <w:rPr>
                <w:rFonts w:ascii="Times New Roman" w:hAnsi="Times New Roman" w:cs="Times New Roman"/>
                <w:b/>
                <w:sz w:val="20"/>
                <w:szCs w:val="20"/>
              </w:rPr>
              <w:t xml:space="preserve"> que en las onerosas es el real, y en las gratuitas el que resulte del ISyD, sin que pueda exceder del valor de </w:t>
            </w:r>
            <w:r w:rsidRPr="002456B0">
              <w:rPr>
                <w:rFonts w:ascii="Times New Roman" w:hAnsi="Times New Roman" w:cs="Times New Roman"/>
                <w:b/>
                <w:sz w:val="18"/>
                <w:szCs w:val="18"/>
              </w:rPr>
              <w:t xml:space="preserve">mercado </w:t>
            </w:r>
            <w:r w:rsidRPr="002456B0">
              <w:rPr>
                <w:rFonts w:ascii="Times New Roman" w:eastAsia="Times New Roman" w:hAnsi="Times New Roman" w:cs="Times New Roman"/>
                <w:sz w:val="18"/>
                <w:szCs w:val="18"/>
                <w:lang w:eastAsia="es-ES"/>
              </w:rPr>
              <w:t>(</w:t>
            </w:r>
            <w:hyperlink r:id="rId42" w:anchor="c2s4" w:history="1">
              <w:r w:rsidRPr="002456B0">
                <w:rPr>
                  <w:rStyle w:val="Hipervnculo"/>
                  <w:rFonts w:ascii="Times New Roman" w:eastAsia="Times New Roman" w:hAnsi="Times New Roman" w:cs="Times New Roman"/>
                  <w:sz w:val="18"/>
                  <w:szCs w:val="18"/>
                  <w:lang w:eastAsia="es-ES"/>
                </w:rPr>
                <w:t>arts. 33 y ss. Ley 35/2006</w:t>
              </w:r>
            </w:hyperlink>
            <w:r w:rsidRPr="002456B0">
              <w:rPr>
                <w:rFonts w:ascii="Times New Roman" w:eastAsia="Times New Roman" w:hAnsi="Times New Roman" w:cs="Times New Roman"/>
                <w:sz w:val="18"/>
                <w:szCs w:val="18"/>
                <w:lang w:eastAsia="es-ES"/>
              </w:rPr>
              <w:t>)</w:t>
            </w:r>
          </w:p>
        </w:tc>
      </w:tr>
      <w:tr w:rsidR="003D3EEE" w:rsidRPr="000E48AA" w14:paraId="33EE66D3" w14:textId="77777777" w:rsidTr="00175CB8">
        <w:trPr>
          <w:trHeight w:val="546"/>
          <w:jc w:val="center"/>
        </w:trPr>
        <w:tc>
          <w:tcPr>
            <w:tcW w:w="1798" w:type="dxa"/>
            <w:vMerge/>
            <w:tcBorders>
              <w:left w:val="single" w:sz="18" w:space="0" w:color="auto"/>
              <w:right w:val="single" w:sz="18" w:space="0" w:color="auto"/>
            </w:tcBorders>
            <w:shd w:val="clear" w:color="auto" w:fill="FFFFFF" w:themeFill="background1"/>
            <w:vAlign w:val="center"/>
          </w:tcPr>
          <w:p w14:paraId="30D290B9" w14:textId="77777777" w:rsidR="003D3EEE" w:rsidRDefault="003D3EEE" w:rsidP="00A7689C">
            <w:pPr>
              <w:spacing w:before="60" w:after="0" w:line="240" w:lineRule="auto"/>
              <w:jc w:val="center"/>
              <w:rPr>
                <w:rFonts w:ascii="Times New Roman" w:eastAsia="Times New Roman" w:hAnsi="Times New Roman" w:cs="Times New Roman"/>
                <w:b/>
                <w:sz w:val="24"/>
                <w:szCs w:val="24"/>
                <w:lang w:eastAsia="es-ES"/>
              </w:rPr>
            </w:pPr>
          </w:p>
        </w:tc>
        <w:tc>
          <w:tcPr>
            <w:tcW w:w="6660" w:type="dxa"/>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14:paraId="1906C634" w14:textId="77777777" w:rsidR="003D3EEE" w:rsidRPr="00905546" w:rsidRDefault="003D3EEE" w:rsidP="0083407F">
            <w:pPr>
              <w:autoSpaceDE w:val="0"/>
              <w:autoSpaceDN w:val="0"/>
              <w:adjustRightInd w:val="0"/>
              <w:spacing w:before="20" w:after="20" w:line="180" w:lineRule="exact"/>
              <w:jc w:val="center"/>
              <w:rPr>
                <w:rFonts w:ascii="Times New Roman" w:hAnsi="Times New Roman" w:cs="Times New Roman"/>
                <w:b/>
                <w:sz w:val="20"/>
                <w:szCs w:val="20"/>
              </w:rPr>
            </w:pPr>
            <w:r w:rsidRPr="00905546">
              <w:rPr>
                <w:rFonts w:ascii="Times New Roman" w:eastAsia="Times New Roman" w:hAnsi="Times New Roman" w:cs="Times New Roman"/>
                <w:sz w:val="20"/>
                <w:szCs w:val="20"/>
                <w:lang w:eastAsia="es-ES"/>
              </w:rPr>
              <w:t xml:space="preserve">La </w:t>
            </w:r>
            <w:hyperlink r:id="rId43" w:history="1">
              <w:r w:rsidRPr="00905546">
                <w:rPr>
                  <w:rStyle w:val="Hipervnculo"/>
                  <w:rFonts w:ascii="Times New Roman" w:eastAsia="Times New Roman" w:hAnsi="Times New Roman" w:cs="Times New Roman"/>
                  <w:sz w:val="20"/>
                  <w:szCs w:val="20"/>
                  <w:lang w:eastAsia="es-ES"/>
                </w:rPr>
                <w:t>Resolución DGT 01/07/2022</w:t>
              </w:r>
            </w:hyperlink>
            <w:r w:rsidRPr="00905546">
              <w:rPr>
                <w:rFonts w:ascii="Times New Roman" w:eastAsia="Times New Roman" w:hAnsi="Times New Roman" w:cs="Times New Roman"/>
                <w:sz w:val="20"/>
                <w:szCs w:val="20"/>
                <w:lang w:eastAsia="es-ES"/>
              </w:rPr>
              <w:t xml:space="preserve"> confirma que, a efectos de determinar la ganancia o pérdida en el IRPF en las adquisiciones y transmisiones onerosas, se atiende los respectivos valores reales, con independencia de que en el ITPOyAJD deba atenderse al valor de referencia. Parece entonces que la cuota abonada de más en dicho impuesto se adicionará al valor de adquisición</w:t>
            </w:r>
            <w:r w:rsidR="0083407F">
              <w:rPr>
                <w:rFonts w:ascii="Times New Roman" w:eastAsia="Times New Roman" w:hAnsi="Times New Roman" w:cs="Times New Roman"/>
                <w:sz w:val="20"/>
                <w:szCs w:val="20"/>
                <w:lang w:eastAsia="es-ES"/>
              </w:rPr>
              <w:t>.</w:t>
            </w:r>
          </w:p>
        </w:tc>
      </w:tr>
      <w:tr w:rsidR="003D3EEE" w:rsidRPr="000E48AA" w14:paraId="13D6584A" w14:textId="77777777" w:rsidTr="00E053C5">
        <w:trPr>
          <w:trHeight w:val="226"/>
          <w:jc w:val="center"/>
        </w:trPr>
        <w:tc>
          <w:tcPr>
            <w:tcW w:w="1798" w:type="dxa"/>
            <w:vMerge/>
            <w:tcBorders>
              <w:left w:val="single" w:sz="18" w:space="0" w:color="auto"/>
              <w:right w:val="single" w:sz="18" w:space="0" w:color="auto"/>
            </w:tcBorders>
            <w:shd w:val="clear" w:color="auto" w:fill="FFFFFF" w:themeFill="background1"/>
            <w:vAlign w:val="center"/>
          </w:tcPr>
          <w:p w14:paraId="5BEB6D64" w14:textId="77777777" w:rsidR="003D3EEE" w:rsidRDefault="003D3EEE" w:rsidP="00A7689C">
            <w:pPr>
              <w:spacing w:before="60" w:after="0" w:line="240" w:lineRule="auto"/>
              <w:jc w:val="center"/>
              <w:rPr>
                <w:rFonts w:ascii="Times New Roman" w:eastAsia="Times New Roman" w:hAnsi="Times New Roman" w:cs="Times New Roman"/>
                <w:b/>
                <w:sz w:val="24"/>
                <w:szCs w:val="24"/>
                <w:lang w:eastAsia="es-ES"/>
              </w:rPr>
            </w:pPr>
          </w:p>
        </w:tc>
        <w:tc>
          <w:tcPr>
            <w:tcW w:w="6660" w:type="dxa"/>
            <w:tcBorders>
              <w:top w:val="single" w:sz="6" w:space="0" w:color="auto"/>
              <w:left w:val="single" w:sz="18" w:space="0" w:color="auto"/>
              <w:bottom w:val="single" w:sz="8" w:space="0" w:color="auto"/>
              <w:right w:val="single" w:sz="18" w:space="0" w:color="auto"/>
            </w:tcBorders>
            <w:shd w:val="clear" w:color="auto" w:fill="FFFFFF" w:themeFill="background1"/>
            <w:vAlign w:val="center"/>
          </w:tcPr>
          <w:p w14:paraId="71D06CC4" w14:textId="09D60A71" w:rsidR="003D3EEE" w:rsidRDefault="003D3EEE" w:rsidP="007B57CF">
            <w:pPr>
              <w:autoSpaceDE w:val="0"/>
              <w:autoSpaceDN w:val="0"/>
              <w:adjustRightInd w:val="0"/>
              <w:spacing w:before="20" w:after="40" w:line="200" w:lineRule="exact"/>
              <w:jc w:val="center"/>
              <w:rPr>
                <w:rFonts w:ascii="Times New Roman" w:eastAsia="Times New Roman" w:hAnsi="Times New Roman" w:cs="Times New Roman"/>
                <w:sz w:val="20"/>
                <w:szCs w:val="20"/>
                <w:lang w:eastAsia="es-ES"/>
              </w:rPr>
            </w:pPr>
            <w:r w:rsidRPr="001728AE">
              <w:rPr>
                <w:rFonts w:ascii="Times New Roman" w:eastAsia="Times New Roman" w:hAnsi="Times New Roman" w:cs="Times New Roman"/>
                <w:sz w:val="20"/>
                <w:szCs w:val="20"/>
                <w:lang w:eastAsia="es-ES"/>
              </w:rPr>
              <w:t>Indirectamente el val</w:t>
            </w:r>
            <w:r>
              <w:rPr>
                <w:rFonts w:ascii="Times New Roman" w:eastAsia="Times New Roman" w:hAnsi="Times New Roman" w:cs="Times New Roman"/>
                <w:sz w:val="20"/>
                <w:szCs w:val="20"/>
                <w:lang w:eastAsia="es-ES"/>
              </w:rPr>
              <w:t>or de referencia influ</w:t>
            </w:r>
            <w:r w:rsidR="007A29BE">
              <w:rPr>
                <w:rFonts w:ascii="Times New Roman" w:eastAsia="Times New Roman" w:hAnsi="Times New Roman" w:cs="Times New Roman"/>
                <w:sz w:val="20"/>
                <w:szCs w:val="20"/>
                <w:lang w:eastAsia="es-ES"/>
              </w:rPr>
              <w:t>irá</w:t>
            </w:r>
            <w:r>
              <w:rPr>
                <w:rFonts w:ascii="Times New Roman" w:eastAsia="Times New Roman" w:hAnsi="Times New Roman" w:cs="Times New Roman"/>
                <w:sz w:val="20"/>
                <w:szCs w:val="20"/>
                <w:lang w:eastAsia="es-ES"/>
              </w:rPr>
              <w:t xml:space="preserve"> en la valoración de las </w:t>
            </w:r>
            <w:r w:rsidRPr="001728AE">
              <w:rPr>
                <w:rFonts w:ascii="Times New Roman" w:eastAsia="Times New Roman" w:hAnsi="Times New Roman" w:cs="Times New Roman"/>
                <w:sz w:val="20"/>
                <w:szCs w:val="20"/>
                <w:lang w:eastAsia="es-ES"/>
              </w:rPr>
              <w:t xml:space="preserve">adquisiciones y </w:t>
            </w:r>
            <w:r>
              <w:rPr>
                <w:rFonts w:ascii="Times New Roman" w:eastAsia="Times New Roman" w:hAnsi="Times New Roman" w:cs="Times New Roman"/>
                <w:sz w:val="20"/>
                <w:szCs w:val="20"/>
                <w:lang w:eastAsia="es-ES"/>
              </w:rPr>
              <w:t>transmis</w:t>
            </w:r>
            <w:r w:rsidR="004B714C">
              <w:rPr>
                <w:rFonts w:ascii="Times New Roman" w:eastAsia="Times New Roman" w:hAnsi="Times New Roman" w:cs="Times New Roman"/>
                <w:sz w:val="20"/>
                <w:szCs w:val="20"/>
                <w:lang w:eastAsia="es-ES"/>
              </w:rPr>
              <w:t xml:space="preserve">iones gratuitas </w:t>
            </w:r>
            <w:r w:rsidR="0046562D">
              <w:rPr>
                <w:rFonts w:ascii="Times New Roman" w:eastAsia="Times New Roman" w:hAnsi="Times New Roman" w:cs="Times New Roman"/>
                <w:sz w:val="20"/>
                <w:szCs w:val="20"/>
                <w:lang w:eastAsia="es-ES"/>
              </w:rPr>
              <w:t>producidas</w:t>
            </w:r>
            <w:r>
              <w:rPr>
                <w:rFonts w:ascii="Times New Roman" w:eastAsia="Times New Roman" w:hAnsi="Times New Roman" w:cs="Times New Roman"/>
                <w:sz w:val="20"/>
                <w:szCs w:val="20"/>
                <w:lang w:eastAsia="es-ES"/>
              </w:rPr>
              <w:t xml:space="preserve"> a partir del 01/01/2022</w:t>
            </w:r>
            <w:r w:rsidR="0046562D">
              <w:rPr>
                <w:rFonts w:ascii="Times New Roman" w:eastAsia="Times New Roman" w:hAnsi="Times New Roman" w:cs="Times New Roman"/>
                <w:sz w:val="20"/>
                <w:szCs w:val="20"/>
                <w:lang w:eastAsia="es-ES"/>
              </w:rPr>
              <w:t>.</w:t>
            </w:r>
          </w:p>
          <w:p w14:paraId="63E99A6E" w14:textId="4E8FBC84" w:rsidR="00A718D7" w:rsidRPr="00FC784D" w:rsidRDefault="007B57CF" w:rsidP="007B57CF">
            <w:pPr>
              <w:autoSpaceDE w:val="0"/>
              <w:autoSpaceDN w:val="0"/>
              <w:adjustRightInd w:val="0"/>
              <w:spacing w:before="20" w:after="40" w:line="160" w:lineRule="exact"/>
              <w:jc w:val="center"/>
              <w:rPr>
                <w:rFonts w:ascii="Times New Roman" w:hAnsi="Times New Roman" w:cs="Times New Roman"/>
                <w:b/>
                <w:sz w:val="18"/>
                <w:szCs w:val="18"/>
              </w:rPr>
            </w:pPr>
            <w:bookmarkStart w:id="4" w:name="_Hlk180686656"/>
            <w:r w:rsidRPr="00FC784D">
              <w:rPr>
                <w:rFonts w:ascii="Times New Roman" w:eastAsia="Times New Roman" w:hAnsi="Times New Roman" w:cs="Times New Roman"/>
                <w:sz w:val="18"/>
                <w:szCs w:val="18"/>
                <w:lang w:eastAsia="es-ES"/>
              </w:rPr>
              <w:t>No ha tenido recorrido</w:t>
            </w:r>
            <w:r w:rsidR="007C12F5" w:rsidRPr="00FC784D">
              <w:rPr>
                <w:rFonts w:ascii="Times New Roman" w:eastAsia="Times New Roman" w:hAnsi="Times New Roman" w:cs="Times New Roman"/>
                <w:sz w:val="18"/>
                <w:szCs w:val="18"/>
                <w:lang w:eastAsia="es-ES"/>
              </w:rPr>
              <w:t xml:space="preserve"> la doctrina de la </w:t>
            </w:r>
            <w:hyperlink r:id="rId44" w:history="1">
              <w:r w:rsidR="007C12F5" w:rsidRPr="00FC784D">
                <w:rPr>
                  <w:rStyle w:val="Hipervnculo"/>
                  <w:rFonts w:ascii="Times New Roman" w:eastAsia="Times New Roman" w:hAnsi="Times New Roman" w:cs="Times New Roman"/>
                  <w:sz w:val="18"/>
                  <w:szCs w:val="18"/>
                  <w:lang w:eastAsia="es-ES"/>
                </w:rPr>
                <w:t>STSJ Valencia</w:t>
              </w:r>
              <w:r w:rsidR="00FC784D">
                <w:rPr>
                  <w:rStyle w:val="Hipervnculo"/>
                  <w:rFonts w:ascii="Times New Roman" w:eastAsia="Times New Roman" w:hAnsi="Times New Roman" w:cs="Times New Roman"/>
                  <w:sz w:val="18"/>
                  <w:szCs w:val="18"/>
                  <w:lang w:eastAsia="es-ES"/>
                </w:rPr>
                <w:t xml:space="preserve"> 28/09/</w:t>
              </w:r>
              <w:r w:rsidR="007C12F5" w:rsidRPr="00FC784D">
                <w:rPr>
                  <w:rStyle w:val="Hipervnculo"/>
                  <w:rFonts w:ascii="Times New Roman" w:eastAsia="Times New Roman" w:hAnsi="Times New Roman" w:cs="Times New Roman"/>
                  <w:sz w:val="18"/>
                  <w:szCs w:val="18"/>
                  <w:lang w:eastAsia="es-ES"/>
                </w:rPr>
                <w:t>2022</w:t>
              </w:r>
            </w:hyperlink>
            <w:r w:rsidRPr="00FC784D">
              <w:rPr>
                <w:rStyle w:val="Hipervnculo"/>
                <w:rFonts w:ascii="Times New Roman" w:eastAsia="Times New Roman" w:hAnsi="Times New Roman" w:cs="Times New Roman"/>
                <w:sz w:val="18"/>
                <w:szCs w:val="18"/>
                <w:lang w:eastAsia="es-ES"/>
              </w:rPr>
              <w:t xml:space="preserve"> </w:t>
            </w:r>
            <w:r w:rsidRPr="00FC784D">
              <w:rPr>
                <w:rFonts w:ascii="Times New Roman" w:eastAsia="Times New Roman" w:hAnsi="Times New Roman" w:cs="Times New Roman"/>
                <w:sz w:val="18"/>
                <w:szCs w:val="18"/>
                <w:lang w:eastAsia="es-ES"/>
              </w:rPr>
              <w:t>(</w:t>
            </w:r>
            <w:r w:rsidRPr="00FC784D">
              <w:rPr>
                <w:sz w:val="18"/>
                <w:szCs w:val="18"/>
              </w:rPr>
              <w:t>q</w:t>
            </w:r>
            <w:r w:rsidR="007C12F5" w:rsidRPr="00FC784D">
              <w:rPr>
                <w:rFonts w:ascii="Times New Roman" w:eastAsia="Times New Roman" w:hAnsi="Times New Roman" w:cs="Times New Roman"/>
                <w:sz w:val="18"/>
                <w:szCs w:val="18"/>
                <w:lang w:eastAsia="es-ES"/>
              </w:rPr>
              <w:t>ue reinterpret</w:t>
            </w:r>
            <w:r w:rsidRPr="00FC784D">
              <w:rPr>
                <w:rFonts w:ascii="Times New Roman" w:eastAsia="Times New Roman" w:hAnsi="Times New Roman" w:cs="Times New Roman"/>
                <w:sz w:val="18"/>
                <w:szCs w:val="18"/>
                <w:lang w:eastAsia="es-ES"/>
              </w:rPr>
              <w:t>ó</w:t>
            </w:r>
            <w:r w:rsidR="007C12F5" w:rsidRPr="00FC784D">
              <w:rPr>
                <w:rFonts w:ascii="Times New Roman" w:eastAsia="Times New Roman" w:hAnsi="Times New Roman" w:cs="Times New Roman"/>
                <w:sz w:val="18"/>
                <w:szCs w:val="18"/>
                <w:lang w:eastAsia="es-ES"/>
              </w:rPr>
              <w:t xml:space="preserve"> el </w:t>
            </w:r>
            <w:hyperlink r:id="rId45" w:anchor="a36" w:history="1">
              <w:r w:rsidR="007C12F5" w:rsidRPr="00FC784D">
                <w:rPr>
                  <w:rStyle w:val="Hipervnculo"/>
                  <w:rFonts w:ascii="Times New Roman" w:eastAsia="Times New Roman" w:hAnsi="Times New Roman" w:cs="Times New Roman"/>
                  <w:sz w:val="18"/>
                  <w:szCs w:val="18"/>
                  <w:lang w:eastAsia="es-ES"/>
                </w:rPr>
                <w:t>art. 33-5 LIRPF</w:t>
              </w:r>
            </w:hyperlink>
            <w:r w:rsidR="007C12F5" w:rsidRPr="00FC784D">
              <w:rPr>
                <w:rFonts w:ascii="Times New Roman" w:eastAsia="Times New Roman" w:hAnsi="Times New Roman" w:cs="Times New Roman"/>
                <w:sz w:val="18"/>
                <w:szCs w:val="18"/>
                <w:lang w:eastAsia="es-ES"/>
              </w:rPr>
              <w:t xml:space="preserve"> entendiendo que es computable la pérdida aflorada en una donación</w:t>
            </w:r>
            <w:r w:rsidRPr="00FC784D">
              <w:rPr>
                <w:rFonts w:ascii="Times New Roman" w:eastAsia="Times New Roman" w:hAnsi="Times New Roman" w:cs="Times New Roman"/>
                <w:sz w:val="18"/>
                <w:szCs w:val="18"/>
                <w:lang w:eastAsia="es-ES"/>
              </w:rPr>
              <w:t xml:space="preserve">, </w:t>
            </w:r>
            <w:r w:rsidR="007C12F5" w:rsidRPr="00FC784D">
              <w:rPr>
                <w:rFonts w:ascii="Times New Roman" w:eastAsia="Times New Roman" w:hAnsi="Times New Roman" w:cs="Times New Roman"/>
                <w:sz w:val="18"/>
                <w:szCs w:val="18"/>
                <w:lang w:eastAsia="es-ES"/>
              </w:rPr>
              <w:t>no en su totalidad sino desde el valor de adquisición)</w:t>
            </w:r>
            <w:r w:rsidRPr="00FC784D">
              <w:rPr>
                <w:rFonts w:ascii="Times New Roman" w:eastAsia="Times New Roman" w:hAnsi="Times New Roman" w:cs="Times New Roman"/>
                <w:sz w:val="18"/>
                <w:szCs w:val="18"/>
                <w:lang w:eastAsia="es-ES"/>
              </w:rPr>
              <w:t xml:space="preserve">, pues ha sido casada por la </w:t>
            </w:r>
            <w:hyperlink r:id="rId46" w:history="1">
              <w:r w:rsidRPr="007F2713">
                <w:rPr>
                  <w:rStyle w:val="Hipervnculo"/>
                  <w:rFonts w:ascii="Times New Roman" w:eastAsia="Times New Roman" w:hAnsi="Times New Roman" w:cs="Times New Roman"/>
                  <w:sz w:val="18"/>
                  <w:szCs w:val="18"/>
                  <w:lang w:eastAsia="es-ES"/>
                </w:rPr>
                <w:t>STS</w:t>
              </w:r>
              <w:r w:rsidR="007F2713" w:rsidRPr="007F2713">
                <w:rPr>
                  <w:rStyle w:val="Hipervnculo"/>
                  <w:rFonts w:ascii="Times New Roman" w:eastAsia="Times New Roman" w:hAnsi="Times New Roman" w:cs="Times New Roman"/>
                  <w:sz w:val="18"/>
                  <w:szCs w:val="18"/>
                  <w:lang w:eastAsia="es-ES"/>
                </w:rPr>
                <w:t xml:space="preserve"> </w:t>
              </w:r>
              <w:r w:rsidR="007F2713" w:rsidRPr="007F2713">
                <w:rPr>
                  <w:rStyle w:val="Hipervnculo"/>
                  <w:sz w:val="18"/>
                  <w:szCs w:val="18"/>
                </w:rPr>
                <w:t>12/04/2024</w:t>
              </w:r>
            </w:hyperlink>
            <w:r w:rsidRPr="00FC784D">
              <w:rPr>
                <w:rFonts w:ascii="Times New Roman" w:eastAsia="Times New Roman" w:hAnsi="Times New Roman" w:cs="Times New Roman"/>
                <w:sz w:val="18"/>
                <w:szCs w:val="18"/>
                <w:lang w:eastAsia="es-ES"/>
              </w:rPr>
              <w:t xml:space="preserve"> (cabe objetar que</w:t>
            </w:r>
            <w:r w:rsidR="007C12F5" w:rsidRPr="00FC784D">
              <w:rPr>
                <w:rFonts w:ascii="Times New Roman" w:eastAsia="Times New Roman" w:hAnsi="Times New Roman" w:cs="Times New Roman"/>
                <w:sz w:val="18"/>
                <w:szCs w:val="18"/>
                <w:lang w:eastAsia="es-ES"/>
              </w:rPr>
              <w:t xml:space="preserve"> si ahora tenemos un valor de referencia es para lo malo y para lo bueno</w:t>
            </w:r>
            <w:r w:rsidRPr="00FC784D">
              <w:rPr>
                <w:rFonts w:ascii="Times New Roman" w:eastAsia="Times New Roman" w:hAnsi="Times New Roman" w:cs="Times New Roman"/>
                <w:sz w:val="18"/>
                <w:szCs w:val="18"/>
                <w:lang w:eastAsia="es-ES"/>
              </w:rPr>
              <w:t>; y que la voluntariedad de la transmisión gratuita también se predica de la onerosa, si bien para ésta se fijan plazos de la eventual readquisición).</w:t>
            </w:r>
            <w:bookmarkEnd w:id="4"/>
          </w:p>
        </w:tc>
      </w:tr>
      <w:tr w:rsidR="003D3EEE" w:rsidRPr="000E48AA" w14:paraId="4100B737" w14:textId="77777777" w:rsidTr="003D3EEE">
        <w:trPr>
          <w:trHeight w:val="269"/>
          <w:jc w:val="center"/>
        </w:trPr>
        <w:tc>
          <w:tcPr>
            <w:tcW w:w="1798" w:type="dxa"/>
            <w:vMerge/>
            <w:tcBorders>
              <w:left w:val="single" w:sz="18" w:space="0" w:color="auto"/>
              <w:right w:val="single" w:sz="18" w:space="0" w:color="auto"/>
            </w:tcBorders>
            <w:shd w:val="clear" w:color="auto" w:fill="FFFFFF" w:themeFill="background1"/>
            <w:vAlign w:val="center"/>
          </w:tcPr>
          <w:p w14:paraId="2105B8B2" w14:textId="77777777" w:rsidR="003D3EEE" w:rsidRDefault="003D3EEE" w:rsidP="00A7689C">
            <w:pPr>
              <w:spacing w:before="60" w:after="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FFFFFF" w:themeFill="background1"/>
            <w:vAlign w:val="center"/>
          </w:tcPr>
          <w:p w14:paraId="738B45C6" w14:textId="77777777" w:rsidR="003D3EEE" w:rsidRPr="001728AE" w:rsidRDefault="003D3EEE" w:rsidP="00302A88">
            <w:pPr>
              <w:autoSpaceDE w:val="0"/>
              <w:autoSpaceDN w:val="0"/>
              <w:adjustRightInd w:val="0"/>
              <w:spacing w:before="20" w:after="20" w:line="220" w:lineRule="exact"/>
              <w:jc w:val="center"/>
              <w:rPr>
                <w:rFonts w:ascii="Times New Roman" w:eastAsia="Times New Roman" w:hAnsi="Times New Roman" w:cs="Times New Roman"/>
                <w:sz w:val="20"/>
                <w:szCs w:val="20"/>
                <w:lang w:eastAsia="es-ES"/>
              </w:rPr>
            </w:pPr>
            <w:r w:rsidRPr="00CA663E">
              <w:rPr>
                <w:rFonts w:ascii="Times New Roman" w:eastAsia="Times New Roman" w:hAnsi="Times New Roman" w:cs="Times New Roman"/>
                <w:lang w:eastAsia="es-ES"/>
              </w:rPr>
              <w:t>En las aportaciones onerosas a gananciales, que están exentas del ITPO (</w:t>
            </w:r>
            <w:hyperlink r:id="rId47" w:anchor="a45" w:history="1">
              <w:r w:rsidRPr="00CA663E">
                <w:rPr>
                  <w:rStyle w:val="Hipervnculo"/>
                  <w:rFonts w:ascii="Times New Roman" w:eastAsia="Times New Roman" w:hAnsi="Times New Roman" w:cs="Times New Roman"/>
                  <w:lang w:eastAsia="es-ES"/>
                </w:rPr>
                <w:t>art. 45-I-B-3 D-leg 1/1993</w:t>
              </w:r>
            </w:hyperlink>
            <w:r w:rsidRPr="00CA663E">
              <w:rPr>
                <w:rFonts w:ascii="Times New Roman" w:eastAsia="Times New Roman" w:hAnsi="Times New Roman" w:cs="Times New Roman"/>
                <w:lang w:eastAsia="es-ES"/>
              </w:rPr>
              <w:t>), se estará al valor declarado para la determinación de la ga</w:t>
            </w:r>
            <w:r>
              <w:rPr>
                <w:rFonts w:ascii="Times New Roman" w:eastAsia="Times New Roman" w:hAnsi="Times New Roman" w:cs="Times New Roman"/>
                <w:lang w:eastAsia="es-ES"/>
              </w:rPr>
              <w:t>nancia del aportante en el IRPF</w:t>
            </w:r>
          </w:p>
        </w:tc>
      </w:tr>
      <w:tr w:rsidR="003D3EEE" w:rsidRPr="000E48AA" w14:paraId="57A4EF4E" w14:textId="77777777" w:rsidTr="00E053C5">
        <w:trPr>
          <w:trHeight w:val="269"/>
          <w:jc w:val="center"/>
        </w:trPr>
        <w:tc>
          <w:tcPr>
            <w:tcW w:w="1798" w:type="dxa"/>
            <w:vMerge/>
            <w:tcBorders>
              <w:left w:val="single" w:sz="18" w:space="0" w:color="auto"/>
              <w:bottom w:val="single" w:sz="12" w:space="0" w:color="auto"/>
              <w:right w:val="single" w:sz="18" w:space="0" w:color="auto"/>
            </w:tcBorders>
            <w:shd w:val="clear" w:color="auto" w:fill="FFFFFF" w:themeFill="background1"/>
            <w:vAlign w:val="center"/>
          </w:tcPr>
          <w:p w14:paraId="53817D3D" w14:textId="77777777" w:rsidR="003D3EEE" w:rsidRDefault="003D3EEE" w:rsidP="00A7689C">
            <w:pPr>
              <w:spacing w:before="60" w:after="0" w:line="240" w:lineRule="auto"/>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2" w:space="0" w:color="auto"/>
              <w:right w:val="single" w:sz="18" w:space="0" w:color="auto"/>
            </w:tcBorders>
            <w:shd w:val="clear" w:color="auto" w:fill="FFFFFF" w:themeFill="background1"/>
            <w:vAlign w:val="center"/>
          </w:tcPr>
          <w:p w14:paraId="29AE7935" w14:textId="77777777" w:rsidR="00795B01" w:rsidRPr="00086276" w:rsidRDefault="0007593D" w:rsidP="00AE3560">
            <w:pPr>
              <w:autoSpaceDE w:val="0"/>
              <w:autoSpaceDN w:val="0"/>
              <w:adjustRightInd w:val="0"/>
              <w:spacing w:before="20" w:after="20" w:line="180" w:lineRule="exact"/>
              <w:jc w:val="center"/>
              <w:rPr>
                <w:rFonts w:ascii="Times New Roman" w:eastAsia="Times New Roman" w:hAnsi="Times New Roman" w:cs="Times New Roman"/>
                <w:sz w:val="20"/>
                <w:szCs w:val="20"/>
                <w:lang w:eastAsia="es-ES"/>
              </w:rPr>
            </w:pPr>
            <w:r w:rsidRPr="00086276">
              <w:rPr>
                <w:rFonts w:ascii="Times New Roman" w:eastAsia="Times New Roman" w:hAnsi="Times New Roman" w:cs="Times New Roman"/>
                <w:sz w:val="20"/>
                <w:szCs w:val="20"/>
                <w:lang w:eastAsia="es-ES"/>
              </w:rPr>
              <w:t>L</w:t>
            </w:r>
            <w:r w:rsidR="003500DB" w:rsidRPr="00086276">
              <w:rPr>
                <w:rFonts w:ascii="Times New Roman" w:eastAsia="Times New Roman" w:hAnsi="Times New Roman" w:cs="Times New Roman"/>
                <w:sz w:val="20"/>
                <w:szCs w:val="20"/>
                <w:lang w:eastAsia="es-ES"/>
              </w:rPr>
              <w:t>as aportaciones gratuitas a gananciales</w:t>
            </w:r>
            <w:r w:rsidR="00177499" w:rsidRPr="00086276">
              <w:rPr>
                <w:rFonts w:ascii="Times New Roman" w:eastAsia="Times New Roman" w:hAnsi="Times New Roman" w:cs="Times New Roman"/>
                <w:sz w:val="20"/>
                <w:szCs w:val="20"/>
                <w:lang w:eastAsia="es-ES"/>
              </w:rPr>
              <w:t xml:space="preserve"> ahora se interpreta</w:t>
            </w:r>
            <w:r w:rsidR="003500DB" w:rsidRPr="00086276">
              <w:rPr>
                <w:rFonts w:ascii="Times New Roman" w:eastAsia="Times New Roman" w:hAnsi="Times New Roman" w:cs="Times New Roman"/>
                <w:sz w:val="20"/>
                <w:szCs w:val="20"/>
                <w:lang w:eastAsia="es-ES"/>
              </w:rPr>
              <w:t xml:space="preserve"> que no están sujetas al Impuesto sobre Donaciones</w:t>
            </w:r>
            <w:r w:rsidR="00795B01" w:rsidRPr="00086276">
              <w:rPr>
                <w:rFonts w:ascii="Times New Roman" w:eastAsia="Times New Roman" w:hAnsi="Times New Roman" w:cs="Times New Roman"/>
                <w:sz w:val="20"/>
                <w:szCs w:val="20"/>
                <w:lang w:eastAsia="es-ES"/>
              </w:rPr>
              <w:t xml:space="preserve"> por entenderse que el beneficiario es el patrimonio ganancial y éste carece</w:t>
            </w:r>
            <w:r w:rsidRPr="00086276">
              <w:rPr>
                <w:rFonts w:ascii="Times New Roman" w:eastAsia="Times New Roman" w:hAnsi="Times New Roman" w:cs="Times New Roman"/>
                <w:sz w:val="20"/>
                <w:szCs w:val="20"/>
                <w:lang w:eastAsia="es-ES"/>
              </w:rPr>
              <w:t>r</w:t>
            </w:r>
            <w:r w:rsidR="00795B01" w:rsidRPr="00086276">
              <w:rPr>
                <w:rFonts w:ascii="Times New Roman" w:eastAsia="Times New Roman" w:hAnsi="Times New Roman" w:cs="Times New Roman"/>
                <w:sz w:val="20"/>
                <w:szCs w:val="20"/>
                <w:lang w:eastAsia="es-ES"/>
              </w:rPr>
              <w:t xml:space="preserve"> de personalidad</w:t>
            </w:r>
            <w:r w:rsidR="003500DB" w:rsidRPr="00086276">
              <w:rPr>
                <w:rFonts w:ascii="Times New Roman" w:eastAsia="Times New Roman" w:hAnsi="Times New Roman" w:cs="Times New Roman"/>
                <w:sz w:val="20"/>
                <w:szCs w:val="20"/>
                <w:lang w:eastAsia="es-ES"/>
              </w:rPr>
              <w:t xml:space="preserve"> (</w:t>
            </w:r>
            <w:hyperlink r:id="rId48" w:history="1">
              <w:r w:rsidR="00BA20C6" w:rsidRPr="005C4D40">
                <w:rPr>
                  <w:rStyle w:val="Hipervnculo"/>
                  <w:rFonts w:ascii="Times New Roman" w:eastAsia="Times New Roman" w:hAnsi="Times New Roman" w:cs="Times New Roman"/>
                  <w:sz w:val="20"/>
                  <w:szCs w:val="20"/>
                  <w:lang w:eastAsia="es-ES"/>
                </w:rPr>
                <w:t>STS de 3 de marzo de 2021</w:t>
              </w:r>
            </w:hyperlink>
            <w:r w:rsidR="00BA20C6" w:rsidRPr="00086276">
              <w:rPr>
                <w:rFonts w:ascii="Times New Roman" w:eastAsia="Times New Roman" w:hAnsi="Times New Roman" w:cs="Times New Roman"/>
                <w:sz w:val="20"/>
                <w:szCs w:val="20"/>
                <w:lang w:eastAsia="es-ES"/>
              </w:rPr>
              <w:t xml:space="preserve"> y </w:t>
            </w:r>
            <w:hyperlink r:id="rId49" w:history="1">
              <w:r w:rsidR="00BA20C6" w:rsidRPr="00086276">
                <w:rPr>
                  <w:rStyle w:val="Hipervnculo"/>
                  <w:rFonts w:ascii="Times New Roman" w:eastAsia="Times New Roman" w:hAnsi="Times New Roman" w:cs="Times New Roman"/>
                  <w:sz w:val="20"/>
                  <w:szCs w:val="20"/>
                  <w:lang w:eastAsia="es-ES"/>
                </w:rPr>
                <w:t>Resolución DGT de</w:t>
              </w:r>
              <w:r w:rsidR="00177499" w:rsidRPr="00086276">
                <w:rPr>
                  <w:rStyle w:val="Hipervnculo"/>
                  <w:rFonts w:ascii="Times New Roman" w:eastAsia="Times New Roman" w:hAnsi="Times New Roman" w:cs="Times New Roman"/>
                  <w:sz w:val="20"/>
                  <w:szCs w:val="20"/>
                  <w:lang w:eastAsia="es-ES"/>
                </w:rPr>
                <w:t xml:space="preserve"> 19 de noviembre de 2021</w:t>
              </w:r>
            </w:hyperlink>
            <w:r w:rsidR="003500DB" w:rsidRPr="00086276">
              <w:rPr>
                <w:rFonts w:ascii="Times New Roman" w:eastAsia="Times New Roman" w:hAnsi="Times New Roman" w:cs="Times New Roman"/>
                <w:sz w:val="20"/>
                <w:szCs w:val="20"/>
                <w:lang w:eastAsia="es-ES"/>
              </w:rPr>
              <w:t>)</w:t>
            </w:r>
            <w:r w:rsidR="00177499" w:rsidRPr="00086276">
              <w:rPr>
                <w:rFonts w:ascii="Times New Roman" w:eastAsia="Times New Roman" w:hAnsi="Times New Roman" w:cs="Times New Roman"/>
                <w:sz w:val="20"/>
                <w:szCs w:val="20"/>
                <w:lang w:eastAsia="es-ES"/>
              </w:rPr>
              <w:t xml:space="preserve">. </w:t>
            </w:r>
            <w:r w:rsidRPr="00086276">
              <w:rPr>
                <w:rFonts w:ascii="Times New Roman" w:eastAsia="Times New Roman" w:hAnsi="Times New Roman" w:cs="Times New Roman"/>
                <w:sz w:val="20"/>
                <w:szCs w:val="20"/>
                <w:lang w:eastAsia="es-ES"/>
              </w:rPr>
              <w:t>Podría</w:t>
            </w:r>
            <w:r w:rsidR="002B0ECA" w:rsidRPr="00086276">
              <w:rPr>
                <w:rFonts w:ascii="Times New Roman" w:eastAsia="Times New Roman" w:hAnsi="Times New Roman" w:cs="Times New Roman"/>
                <w:sz w:val="20"/>
                <w:szCs w:val="20"/>
                <w:lang w:eastAsia="es-ES"/>
              </w:rPr>
              <w:t>n entonces</w:t>
            </w:r>
            <w:r w:rsidR="003500DB" w:rsidRPr="00086276">
              <w:rPr>
                <w:rFonts w:ascii="Times New Roman" w:eastAsia="Times New Roman" w:hAnsi="Times New Roman" w:cs="Times New Roman"/>
                <w:sz w:val="20"/>
                <w:szCs w:val="20"/>
                <w:lang w:eastAsia="es-ES"/>
              </w:rPr>
              <w:t xml:space="preserve"> estarlo al IAJD</w:t>
            </w:r>
            <w:r w:rsidRPr="00086276">
              <w:rPr>
                <w:rFonts w:ascii="Times New Roman" w:eastAsia="Times New Roman" w:hAnsi="Times New Roman" w:cs="Times New Roman"/>
                <w:sz w:val="20"/>
                <w:szCs w:val="20"/>
                <w:lang w:eastAsia="es-ES"/>
              </w:rPr>
              <w:t>, si bien los anteriores pronunciamientos excluyen</w:t>
            </w:r>
            <w:r w:rsidR="002B0ECA" w:rsidRPr="00086276">
              <w:rPr>
                <w:rFonts w:ascii="Times New Roman" w:eastAsia="Times New Roman" w:hAnsi="Times New Roman" w:cs="Times New Roman"/>
                <w:sz w:val="20"/>
                <w:szCs w:val="20"/>
                <w:lang w:eastAsia="es-ES"/>
              </w:rPr>
              <w:t xml:space="preserve"> esta posibilidad.</w:t>
            </w:r>
            <w:r w:rsidR="00DE287B">
              <w:rPr>
                <w:rFonts w:ascii="Times New Roman" w:eastAsia="Times New Roman" w:hAnsi="Times New Roman" w:cs="Times New Roman"/>
                <w:sz w:val="20"/>
                <w:szCs w:val="20"/>
                <w:lang w:eastAsia="es-ES"/>
              </w:rPr>
              <w:t xml:space="preserve"> Tampoco estarían sujetas al IIVTNU pero por la aplicación del </w:t>
            </w:r>
            <w:hyperlink r:id="rId50" w:anchor="a104" w:history="1">
              <w:r w:rsidR="00DE287B" w:rsidRPr="00AE3560">
                <w:rPr>
                  <w:rStyle w:val="Hipervnculo"/>
                  <w:rFonts w:ascii="Times New Roman" w:eastAsia="Times New Roman" w:hAnsi="Times New Roman" w:cs="Times New Roman"/>
                  <w:sz w:val="20"/>
                  <w:szCs w:val="20"/>
                  <w:lang w:eastAsia="es-ES"/>
                </w:rPr>
                <w:t>art. 104</w:t>
              </w:r>
              <w:r w:rsidR="00AE3560" w:rsidRPr="00AE3560">
                <w:rPr>
                  <w:rStyle w:val="Hipervnculo"/>
                  <w:rFonts w:ascii="Times New Roman" w:eastAsia="Times New Roman" w:hAnsi="Times New Roman" w:cs="Times New Roman"/>
                  <w:sz w:val="20"/>
                  <w:szCs w:val="20"/>
                  <w:lang w:eastAsia="es-ES"/>
                </w:rPr>
                <w:t>-3</w:t>
              </w:r>
              <w:r w:rsidR="00CD7889" w:rsidRPr="00AE3560">
                <w:rPr>
                  <w:rStyle w:val="Hipervnculo"/>
                  <w:rFonts w:ascii="Times New Roman" w:eastAsia="Times New Roman" w:hAnsi="Times New Roman" w:cs="Times New Roman"/>
                  <w:sz w:val="20"/>
                  <w:szCs w:val="20"/>
                  <w:lang w:eastAsia="es-ES"/>
                </w:rPr>
                <w:t xml:space="preserve"> LHL</w:t>
              </w:r>
            </w:hyperlink>
            <w:r w:rsidR="00AE3560">
              <w:rPr>
                <w:rFonts w:ascii="Times New Roman" w:eastAsia="Times New Roman" w:hAnsi="Times New Roman" w:cs="Times New Roman"/>
                <w:sz w:val="20"/>
                <w:szCs w:val="20"/>
                <w:lang w:eastAsia="es-ES"/>
              </w:rPr>
              <w:t xml:space="preserve"> y sin perjuicio del diferimiento, al no ser un supuesto de exención</w:t>
            </w:r>
            <w:r w:rsidR="00CD7889">
              <w:rPr>
                <w:rFonts w:ascii="Times New Roman" w:eastAsia="Times New Roman" w:hAnsi="Times New Roman" w:cs="Times New Roman"/>
                <w:sz w:val="20"/>
                <w:szCs w:val="20"/>
                <w:lang w:eastAsia="es-ES"/>
              </w:rPr>
              <w:t>.</w:t>
            </w:r>
          </w:p>
          <w:p w14:paraId="256CBD3F" w14:textId="0063ED37" w:rsidR="003D3EEE" w:rsidRPr="001333B1" w:rsidRDefault="00A91AED" w:rsidP="005F1967">
            <w:pPr>
              <w:autoSpaceDE w:val="0"/>
              <w:autoSpaceDN w:val="0"/>
              <w:adjustRightInd w:val="0"/>
              <w:spacing w:after="60" w:line="180" w:lineRule="exact"/>
              <w:jc w:val="center"/>
              <w:rPr>
                <w:rFonts w:ascii="Times New Roman" w:eastAsia="Times New Roman" w:hAnsi="Times New Roman" w:cs="Times New Roman"/>
                <w:sz w:val="18"/>
                <w:szCs w:val="18"/>
                <w:lang w:eastAsia="es-ES"/>
              </w:rPr>
            </w:pPr>
            <w:r w:rsidRPr="001333B1">
              <w:rPr>
                <w:rFonts w:ascii="Times New Roman" w:eastAsia="Times New Roman" w:hAnsi="Times New Roman" w:cs="Times New Roman"/>
                <w:sz w:val="18"/>
                <w:szCs w:val="18"/>
                <w:lang w:eastAsia="es-ES"/>
              </w:rPr>
              <w:t>S</w:t>
            </w:r>
            <w:r w:rsidR="00795B01" w:rsidRPr="001333B1">
              <w:rPr>
                <w:rFonts w:ascii="Times New Roman" w:eastAsia="Times New Roman" w:hAnsi="Times New Roman" w:cs="Times New Roman"/>
                <w:sz w:val="18"/>
                <w:szCs w:val="18"/>
                <w:lang w:eastAsia="es-ES"/>
              </w:rPr>
              <w:t>e estaría</w:t>
            </w:r>
            <w:r w:rsidRPr="001333B1">
              <w:rPr>
                <w:rFonts w:ascii="Times New Roman" w:eastAsia="Times New Roman" w:hAnsi="Times New Roman" w:cs="Times New Roman"/>
                <w:sz w:val="18"/>
                <w:szCs w:val="18"/>
                <w:lang w:eastAsia="es-ES"/>
              </w:rPr>
              <w:t xml:space="preserve"> entonces</w:t>
            </w:r>
            <w:r w:rsidR="003500DB" w:rsidRPr="001333B1">
              <w:rPr>
                <w:rFonts w:ascii="Times New Roman" w:eastAsia="Times New Roman" w:hAnsi="Times New Roman" w:cs="Times New Roman"/>
                <w:sz w:val="18"/>
                <w:szCs w:val="18"/>
                <w:lang w:eastAsia="es-ES"/>
              </w:rPr>
              <w:t xml:space="preserve"> al valor declarado para la determinación de la ganancia del aportante en el IRPF</w:t>
            </w:r>
            <w:r w:rsidR="00795B01" w:rsidRPr="001333B1">
              <w:rPr>
                <w:rFonts w:ascii="Times New Roman" w:eastAsia="Times New Roman" w:hAnsi="Times New Roman" w:cs="Times New Roman"/>
                <w:sz w:val="18"/>
                <w:szCs w:val="18"/>
                <w:lang w:eastAsia="es-ES"/>
              </w:rPr>
              <w:t>,</w:t>
            </w:r>
            <w:r w:rsidR="00D10390" w:rsidRPr="001333B1">
              <w:rPr>
                <w:rFonts w:ascii="Times New Roman" w:eastAsia="Times New Roman" w:hAnsi="Times New Roman" w:cs="Times New Roman"/>
                <w:sz w:val="18"/>
                <w:szCs w:val="18"/>
                <w:lang w:eastAsia="es-ES"/>
              </w:rPr>
              <w:t xml:space="preserve"> caso de que se considere que la aportación</w:t>
            </w:r>
            <w:r w:rsidRPr="001333B1">
              <w:rPr>
                <w:rFonts w:ascii="Times New Roman" w:eastAsia="Times New Roman" w:hAnsi="Times New Roman" w:cs="Times New Roman"/>
                <w:sz w:val="18"/>
                <w:szCs w:val="18"/>
                <w:lang w:eastAsia="es-ES"/>
              </w:rPr>
              <w:t xml:space="preserve"> gratuita a gananciales</w:t>
            </w:r>
            <w:r w:rsidR="00D10390" w:rsidRPr="001333B1">
              <w:rPr>
                <w:rFonts w:ascii="Times New Roman" w:eastAsia="Times New Roman" w:hAnsi="Times New Roman" w:cs="Times New Roman"/>
                <w:sz w:val="18"/>
                <w:szCs w:val="18"/>
                <w:lang w:eastAsia="es-ES"/>
              </w:rPr>
              <w:t xml:space="preserve"> es un acto susceptible de poner de manifiesto dicha ganancia</w:t>
            </w:r>
            <w:r w:rsidR="00A227C7">
              <w:rPr>
                <w:rFonts w:ascii="Times New Roman" w:eastAsia="Times New Roman" w:hAnsi="Times New Roman" w:cs="Times New Roman"/>
                <w:sz w:val="18"/>
                <w:szCs w:val="18"/>
                <w:lang w:eastAsia="es-ES"/>
              </w:rPr>
              <w:t xml:space="preserve"> (así la </w:t>
            </w:r>
            <w:hyperlink r:id="rId51" w:history="1">
              <w:r w:rsidR="00A227C7" w:rsidRPr="00B0144A">
                <w:rPr>
                  <w:rStyle w:val="Hipervnculo"/>
                  <w:rFonts w:ascii="Times New Roman" w:eastAsia="Times New Roman" w:hAnsi="Times New Roman" w:cs="Times New Roman"/>
                  <w:sz w:val="18"/>
                  <w:szCs w:val="18"/>
                  <w:lang w:eastAsia="es-ES"/>
                </w:rPr>
                <w:t>Resolución TEAC 23/01/2024</w:t>
              </w:r>
            </w:hyperlink>
            <w:r w:rsidR="00A227C7">
              <w:rPr>
                <w:rFonts w:ascii="Times New Roman" w:eastAsia="Times New Roman" w:hAnsi="Times New Roman" w:cs="Times New Roman"/>
                <w:sz w:val="18"/>
                <w:szCs w:val="18"/>
                <w:lang w:eastAsia="es-ES"/>
              </w:rPr>
              <w:t>), pues en otro caso se produciría un diferimiento</w:t>
            </w:r>
            <w:r w:rsidR="005F1967" w:rsidRPr="001333B1">
              <w:rPr>
                <w:rFonts w:ascii="Times New Roman" w:eastAsia="Times New Roman" w:hAnsi="Times New Roman" w:cs="Times New Roman"/>
                <w:sz w:val="18"/>
                <w:szCs w:val="18"/>
                <w:lang w:eastAsia="es-ES"/>
              </w:rPr>
              <w:t xml:space="preserve"> (</w:t>
            </w:r>
            <w:r w:rsidR="00A227C7">
              <w:rPr>
                <w:rFonts w:ascii="Times New Roman" w:eastAsia="Times New Roman" w:hAnsi="Times New Roman" w:cs="Times New Roman"/>
                <w:sz w:val="18"/>
                <w:szCs w:val="18"/>
                <w:lang w:eastAsia="es-ES"/>
              </w:rPr>
              <w:t>así</w:t>
            </w:r>
            <w:r w:rsidR="001333B1" w:rsidRPr="001333B1">
              <w:rPr>
                <w:rFonts w:ascii="Times New Roman" w:eastAsia="Times New Roman" w:hAnsi="Times New Roman" w:cs="Times New Roman"/>
                <w:sz w:val="18"/>
                <w:szCs w:val="18"/>
                <w:lang w:eastAsia="es-ES"/>
              </w:rPr>
              <w:t xml:space="preserve"> la</w:t>
            </w:r>
            <w:r w:rsidR="00BE3D1E" w:rsidRPr="001333B1">
              <w:rPr>
                <w:rFonts w:ascii="Times New Roman" w:eastAsia="Times New Roman" w:hAnsi="Times New Roman" w:cs="Times New Roman"/>
                <w:sz w:val="18"/>
                <w:szCs w:val="18"/>
                <w:lang w:eastAsia="es-ES"/>
              </w:rPr>
              <w:t xml:space="preserve"> </w:t>
            </w:r>
            <w:hyperlink r:id="rId52" w:history="1">
              <w:r w:rsidR="001333B1">
                <w:rPr>
                  <w:rStyle w:val="Hipervnculo"/>
                  <w:rFonts w:ascii="Times New Roman" w:eastAsia="Times New Roman" w:hAnsi="Times New Roman" w:cs="Times New Roman"/>
                  <w:sz w:val="18"/>
                  <w:szCs w:val="18"/>
                  <w:lang w:eastAsia="es-ES"/>
                </w:rPr>
                <w:t>Res</w:t>
              </w:r>
              <w:r w:rsidR="00A227C7">
                <w:rPr>
                  <w:rStyle w:val="Hipervnculo"/>
                  <w:rFonts w:ascii="Times New Roman" w:eastAsia="Times New Roman" w:hAnsi="Times New Roman" w:cs="Times New Roman"/>
                  <w:sz w:val="18"/>
                  <w:szCs w:val="18"/>
                  <w:lang w:eastAsia="es-ES"/>
                </w:rPr>
                <w:t>.</w:t>
              </w:r>
              <w:r w:rsidR="005F1967" w:rsidRPr="001333B1">
                <w:rPr>
                  <w:rStyle w:val="Hipervnculo"/>
                  <w:rFonts w:ascii="Times New Roman" w:eastAsia="Times New Roman" w:hAnsi="Times New Roman" w:cs="Times New Roman"/>
                  <w:sz w:val="18"/>
                  <w:szCs w:val="18"/>
                  <w:lang w:eastAsia="es-ES"/>
                </w:rPr>
                <w:t xml:space="preserve"> TEAR Madrid 25/05/2022</w:t>
              </w:r>
            </w:hyperlink>
            <w:r w:rsidR="005F1967" w:rsidRPr="001333B1">
              <w:rPr>
                <w:rFonts w:ascii="Times New Roman" w:eastAsia="Times New Roman" w:hAnsi="Times New Roman" w:cs="Times New Roman"/>
                <w:sz w:val="18"/>
                <w:szCs w:val="18"/>
                <w:lang w:eastAsia="es-ES"/>
              </w:rPr>
              <w:t>)</w:t>
            </w:r>
            <w:r w:rsidRPr="001333B1">
              <w:rPr>
                <w:rFonts w:ascii="Times New Roman" w:eastAsia="Times New Roman" w:hAnsi="Times New Roman" w:cs="Times New Roman"/>
                <w:sz w:val="18"/>
                <w:szCs w:val="18"/>
                <w:lang w:eastAsia="es-ES"/>
              </w:rPr>
              <w:t>.</w:t>
            </w:r>
          </w:p>
        </w:tc>
      </w:tr>
      <w:tr w:rsidR="002B42B4" w:rsidRPr="000E48AA" w14:paraId="49433C98" w14:textId="77777777" w:rsidTr="002B42B4">
        <w:trPr>
          <w:trHeight w:val="727"/>
          <w:jc w:val="center"/>
        </w:trPr>
        <w:tc>
          <w:tcPr>
            <w:tcW w:w="1798" w:type="dxa"/>
            <w:vMerge w:val="restart"/>
            <w:tcBorders>
              <w:top w:val="single" w:sz="12" w:space="0" w:color="auto"/>
              <w:left w:val="single" w:sz="18" w:space="0" w:color="auto"/>
              <w:right w:val="single" w:sz="18" w:space="0" w:color="auto"/>
            </w:tcBorders>
            <w:shd w:val="clear" w:color="auto" w:fill="E7E6E6" w:themeFill="background2"/>
            <w:vAlign w:val="center"/>
          </w:tcPr>
          <w:p w14:paraId="6D7D5FDF" w14:textId="77777777" w:rsidR="002B42B4" w:rsidRDefault="002B42B4" w:rsidP="00A7689C">
            <w:pPr>
              <w:spacing w:before="60"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IRPF</w:t>
            </w:r>
          </w:p>
          <w:p w14:paraId="7DD3D45C" w14:textId="77777777" w:rsidR="002B42B4" w:rsidRPr="00A7689C" w:rsidRDefault="002B42B4" w:rsidP="00A7689C">
            <w:pPr>
              <w:spacing w:after="60" w:line="240" w:lineRule="auto"/>
              <w:jc w:val="center"/>
              <w:rPr>
                <w:rFonts w:ascii="Times New Roman" w:eastAsia="Times New Roman" w:hAnsi="Times New Roman" w:cs="Times New Roman"/>
                <w:b/>
                <w:sz w:val="20"/>
                <w:szCs w:val="20"/>
                <w:lang w:eastAsia="es-ES"/>
              </w:rPr>
            </w:pPr>
            <w:r w:rsidRPr="00A7689C">
              <w:rPr>
                <w:rFonts w:ascii="Times New Roman" w:eastAsia="Times New Roman" w:hAnsi="Times New Roman" w:cs="Times New Roman"/>
                <w:b/>
                <w:sz w:val="20"/>
                <w:szCs w:val="20"/>
                <w:lang w:eastAsia="es-ES"/>
              </w:rPr>
              <w:t>Imputación</w:t>
            </w:r>
            <w:r w:rsidR="001C74AE">
              <w:rPr>
                <w:rFonts w:ascii="Times New Roman" w:eastAsia="Times New Roman" w:hAnsi="Times New Roman" w:cs="Times New Roman"/>
                <w:b/>
                <w:sz w:val="20"/>
                <w:szCs w:val="20"/>
                <w:lang w:eastAsia="es-ES"/>
              </w:rPr>
              <w:t xml:space="preserve"> renta</w:t>
            </w:r>
          </w:p>
        </w:tc>
        <w:tc>
          <w:tcPr>
            <w:tcW w:w="6660" w:type="dxa"/>
            <w:tcBorders>
              <w:top w:val="single" w:sz="12" w:space="0" w:color="auto"/>
              <w:left w:val="single" w:sz="18" w:space="0" w:color="auto"/>
              <w:bottom w:val="single" w:sz="6" w:space="0" w:color="auto"/>
              <w:right w:val="single" w:sz="18" w:space="0" w:color="auto"/>
            </w:tcBorders>
            <w:shd w:val="clear" w:color="auto" w:fill="E7E6E6" w:themeFill="background2"/>
            <w:vAlign w:val="center"/>
          </w:tcPr>
          <w:p w14:paraId="147F9ECB" w14:textId="77777777" w:rsidR="0094273A" w:rsidRDefault="002B42B4" w:rsidP="0094273A">
            <w:pPr>
              <w:spacing w:before="60" w:after="0" w:line="200" w:lineRule="exact"/>
              <w:jc w:val="center"/>
              <w:rPr>
                <w:rFonts w:ascii="Times New Roman" w:eastAsia="Times New Roman" w:hAnsi="Times New Roman" w:cs="Times New Roman"/>
                <w:b/>
                <w:sz w:val="18"/>
                <w:szCs w:val="18"/>
                <w:lang w:eastAsia="es-ES"/>
              </w:rPr>
            </w:pPr>
            <w:r w:rsidRPr="00DE287B">
              <w:rPr>
                <w:rFonts w:ascii="Times New Roman" w:eastAsia="Times New Roman" w:hAnsi="Times New Roman" w:cs="Times New Roman"/>
                <w:b/>
                <w:sz w:val="18"/>
                <w:szCs w:val="18"/>
                <w:lang w:eastAsia="es-ES"/>
              </w:rPr>
              <w:t xml:space="preserve">Imputación de renta por el 2% del valor catastral </w:t>
            </w:r>
            <w:r w:rsidR="0094273A">
              <w:rPr>
                <w:rFonts w:ascii="Times New Roman" w:eastAsia="Times New Roman" w:hAnsi="Times New Roman" w:cs="Times New Roman"/>
                <w:b/>
                <w:sz w:val="18"/>
                <w:szCs w:val="18"/>
                <w:lang w:eastAsia="es-ES"/>
              </w:rPr>
              <w:t>[</w:t>
            </w:r>
            <w:r w:rsidRPr="00DE287B">
              <w:rPr>
                <w:rFonts w:ascii="Times New Roman" w:eastAsia="Times New Roman" w:hAnsi="Times New Roman" w:cs="Times New Roman"/>
                <w:b/>
                <w:sz w:val="18"/>
                <w:szCs w:val="18"/>
                <w:lang w:eastAsia="es-ES"/>
              </w:rPr>
              <w:t>1,1% si hubo revisión catastral en los 10 años anteriores</w:t>
            </w:r>
            <w:r w:rsidR="006B3E98" w:rsidRPr="00DE287B">
              <w:rPr>
                <w:rFonts w:ascii="Times New Roman" w:eastAsia="Times New Roman" w:hAnsi="Times New Roman" w:cs="Times New Roman"/>
                <w:b/>
                <w:sz w:val="18"/>
                <w:szCs w:val="18"/>
                <w:lang w:eastAsia="es-ES"/>
              </w:rPr>
              <w:t xml:space="preserve"> o</w:t>
            </w:r>
            <w:r w:rsidR="00EB5D94" w:rsidRPr="00DE287B">
              <w:rPr>
                <w:rFonts w:ascii="Times New Roman" w:eastAsia="Times New Roman" w:hAnsi="Times New Roman" w:cs="Times New Roman"/>
                <w:b/>
                <w:sz w:val="18"/>
                <w:szCs w:val="18"/>
                <w:lang w:eastAsia="es-ES"/>
              </w:rPr>
              <w:t xml:space="preserve">, para </w:t>
            </w:r>
            <w:r w:rsidR="0094273A">
              <w:rPr>
                <w:rFonts w:ascii="Times New Roman" w:eastAsia="Times New Roman" w:hAnsi="Times New Roman" w:cs="Times New Roman"/>
                <w:b/>
                <w:sz w:val="18"/>
                <w:szCs w:val="18"/>
                <w:lang w:eastAsia="es-ES"/>
              </w:rPr>
              <w:t>el</w:t>
            </w:r>
            <w:r w:rsidR="00EB5D94" w:rsidRPr="00DE287B">
              <w:rPr>
                <w:rFonts w:ascii="Times New Roman" w:eastAsia="Times New Roman" w:hAnsi="Times New Roman" w:cs="Times New Roman"/>
                <w:b/>
                <w:sz w:val="18"/>
                <w:szCs w:val="18"/>
                <w:lang w:eastAsia="es-ES"/>
              </w:rPr>
              <w:t xml:space="preserve"> ejercicio 2023</w:t>
            </w:r>
            <w:r w:rsidR="00D27475">
              <w:rPr>
                <w:rFonts w:ascii="Times New Roman" w:eastAsia="Times New Roman" w:hAnsi="Times New Roman" w:cs="Times New Roman"/>
                <w:b/>
                <w:sz w:val="18"/>
                <w:szCs w:val="18"/>
                <w:lang w:eastAsia="es-ES"/>
              </w:rPr>
              <w:t xml:space="preserve"> </w:t>
            </w:r>
            <w:r w:rsidR="0094273A">
              <w:rPr>
                <w:rFonts w:ascii="Times New Roman" w:eastAsia="Times New Roman" w:hAnsi="Times New Roman" w:cs="Times New Roman"/>
                <w:b/>
                <w:sz w:val="18"/>
                <w:szCs w:val="18"/>
                <w:lang w:eastAsia="es-ES"/>
              </w:rPr>
              <w:t xml:space="preserve"> (para el </w:t>
            </w:r>
            <w:r w:rsidR="00D27475">
              <w:rPr>
                <w:rFonts w:ascii="Times New Roman" w:eastAsia="Times New Roman" w:hAnsi="Times New Roman" w:cs="Times New Roman"/>
                <w:b/>
                <w:sz w:val="18"/>
                <w:szCs w:val="18"/>
                <w:lang w:eastAsia="es-ES"/>
              </w:rPr>
              <w:t>2024</w:t>
            </w:r>
            <w:r w:rsidR="0094273A">
              <w:rPr>
                <w:rFonts w:ascii="Times New Roman" w:eastAsia="Times New Roman" w:hAnsi="Times New Roman" w:cs="Times New Roman"/>
                <w:b/>
                <w:sz w:val="18"/>
                <w:szCs w:val="18"/>
                <w:lang w:eastAsia="es-ES"/>
              </w:rPr>
              <w:t xml:space="preserve"> el DL 9/2024 no fue convalidado)</w:t>
            </w:r>
            <w:r w:rsidR="00EB5D94" w:rsidRPr="00DE287B">
              <w:rPr>
                <w:rFonts w:ascii="Times New Roman" w:eastAsia="Times New Roman" w:hAnsi="Times New Roman" w:cs="Times New Roman"/>
                <w:b/>
                <w:sz w:val="18"/>
                <w:szCs w:val="18"/>
                <w:lang w:eastAsia="es-ES"/>
              </w:rPr>
              <w:t>,</w:t>
            </w:r>
            <w:r w:rsidR="006B3E98" w:rsidRPr="00DE287B">
              <w:rPr>
                <w:rFonts w:ascii="Times New Roman" w:eastAsia="Times New Roman" w:hAnsi="Times New Roman" w:cs="Times New Roman"/>
                <w:b/>
                <w:sz w:val="18"/>
                <w:szCs w:val="18"/>
                <w:lang w:eastAsia="es-ES"/>
              </w:rPr>
              <w:t xml:space="preserve"> a partir del 2012</w:t>
            </w:r>
            <w:r w:rsidR="0094273A">
              <w:rPr>
                <w:rFonts w:ascii="Times New Roman" w:eastAsia="Times New Roman" w:hAnsi="Times New Roman" w:cs="Times New Roman"/>
                <w:b/>
                <w:sz w:val="18"/>
                <w:szCs w:val="18"/>
                <w:lang w:eastAsia="es-ES"/>
              </w:rPr>
              <w:t>]</w:t>
            </w:r>
            <w:r w:rsidRPr="00DE287B">
              <w:rPr>
                <w:rFonts w:ascii="Times New Roman" w:eastAsia="Times New Roman" w:hAnsi="Times New Roman" w:cs="Times New Roman"/>
                <w:b/>
                <w:sz w:val="18"/>
                <w:szCs w:val="18"/>
                <w:lang w:eastAsia="es-ES"/>
              </w:rPr>
              <w:t xml:space="preserve">, </w:t>
            </w:r>
            <w:r w:rsidR="00EB5D94" w:rsidRPr="00DE287B">
              <w:rPr>
                <w:rFonts w:ascii="Times New Roman" w:eastAsia="Times New Roman" w:hAnsi="Times New Roman" w:cs="Times New Roman"/>
                <w:sz w:val="18"/>
                <w:szCs w:val="18"/>
                <w:lang w:eastAsia="es-ES"/>
              </w:rPr>
              <w:t xml:space="preserve"> </w:t>
            </w:r>
            <w:r w:rsidRPr="00DE287B">
              <w:rPr>
                <w:rFonts w:ascii="Times New Roman" w:eastAsia="Times New Roman" w:hAnsi="Times New Roman" w:cs="Times New Roman"/>
                <w:b/>
                <w:sz w:val="18"/>
                <w:szCs w:val="18"/>
                <w:lang w:eastAsia="es-ES"/>
              </w:rPr>
              <w:t>tratándose de edificaciones distintas de la vivienda habitual, o que no estén arrendados o afectos a actividades económicas</w:t>
            </w:r>
          </w:p>
          <w:p w14:paraId="4286D26B" w14:textId="7E5B6D5E" w:rsidR="002B42B4" w:rsidRPr="00DE287B" w:rsidRDefault="002B42B4" w:rsidP="0094273A">
            <w:pPr>
              <w:spacing w:after="60" w:line="200" w:lineRule="exact"/>
              <w:jc w:val="center"/>
              <w:rPr>
                <w:rFonts w:ascii="Times New Roman" w:eastAsia="Times New Roman" w:hAnsi="Times New Roman" w:cs="Times New Roman"/>
                <w:sz w:val="18"/>
                <w:szCs w:val="18"/>
                <w:lang w:eastAsia="es-ES"/>
              </w:rPr>
            </w:pPr>
            <w:r w:rsidRPr="006B3E98">
              <w:rPr>
                <w:rFonts w:ascii="Times New Roman" w:eastAsia="Times New Roman" w:hAnsi="Times New Roman" w:cs="Times New Roman"/>
                <w:sz w:val="20"/>
                <w:szCs w:val="20"/>
                <w:lang w:eastAsia="es-ES"/>
              </w:rPr>
              <w:t>(</w:t>
            </w:r>
            <w:hyperlink r:id="rId53" w:anchor="a85" w:history="1">
              <w:r w:rsidRPr="006B3E98">
                <w:rPr>
                  <w:rStyle w:val="Hipervnculo"/>
                  <w:rFonts w:ascii="Times New Roman" w:eastAsia="Times New Roman" w:hAnsi="Times New Roman" w:cs="Times New Roman"/>
                  <w:sz w:val="20"/>
                  <w:szCs w:val="20"/>
                  <w:lang w:eastAsia="es-ES"/>
                </w:rPr>
                <w:t>art. 85</w:t>
              </w:r>
              <w:r w:rsidR="006B3E98" w:rsidRPr="006B3E98">
                <w:rPr>
                  <w:rStyle w:val="Hipervnculo"/>
                  <w:rFonts w:ascii="Times New Roman" w:eastAsia="Times New Roman" w:hAnsi="Times New Roman" w:cs="Times New Roman"/>
                  <w:sz w:val="20"/>
                  <w:szCs w:val="20"/>
                  <w:lang w:eastAsia="es-ES"/>
                </w:rPr>
                <w:t xml:space="preserve"> y d.a. 55ª</w:t>
              </w:r>
              <w:r w:rsidRPr="006B3E98">
                <w:rPr>
                  <w:rStyle w:val="Hipervnculo"/>
                  <w:rFonts w:ascii="Times New Roman" w:eastAsia="Times New Roman" w:hAnsi="Times New Roman" w:cs="Times New Roman"/>
                  <w:sz w:val="20"/>
                  <w:szCs w:val="20"/>
                  <w:lang w:eastAsia="es-ES"/>
                </w:rPr>
                <w:t xml:space="preserve"> Ley 35/2006</w:t>
              </w:r>
            </w:hyperlink>
            <w:r w:rsidRPr="006B3E98">
              <w:rPr>
                <w:rFonts w:ascii="Times New Roman" w:eastAsia="Times New Roman" w:hAnsi="Times New Roman" w:cs="Times New Roman"/>
                <w:sz w:val="20"/>
                <w:szCs w:val="20"/>
                <w:lang w:eastAsia="es-ES"/>
              </w:rPr>
              <w:t>)</w:t>
            </w:r>
          </w:p>
        </w:tc>
      </w:tr>
      <w:tr w:rsidR="002B42B4" w:rsidRPr="000E48AA" w14:paraId="5C9FB624" w14:textId="77777777" w:rsidTr="008A480A">
        <w:trPr>
          <w:trHeight w:val="467"/>
          <w:jc w:val="center"/>
        </w:trPr>
        <w:tc>
          <w:tcPr>
            <w:tcW w:w="1798" w:type="dxa"/>
            <w:vMerge/>
            <w:tcBorders>
              <w:left w:val="single" w:sz="18" w:space="0" w:color="auto"/>
              <w:bottom w:val="single" w:sz="12" w:space="0" w:color="auto"/>
              <w:right w:val="single" w:sz="18" w:space="0" w:color="auto"/>
            </w:tcBorders>
            <w:shd w:val="clear" w:color="auto" w:fill="E7E6E6" w:themeFill="background2"/>
            <w:vAlign w:val="center"/>
          </w:tcPr>
          <w:p w14:paraId="3378785F" w14:textId="77777777" w:rsidR="002B42B4" w:rsidRDefault="002B42B4" w:rsidP="00A7689C">
            <w:pPr>
              <w:spacing w:before="60" w:after="0" w:line="240" w:lineRule="auto"/>
              <w:jc w:val="center"/>
              <w:rPr>
                <w:rFonts w:ascii="Times New Roman" w:eastAsia="Times New Roman" w:hAnsi="Times New Roman" w:cs="Times New Roman"/>
                <w:b/>
                <w:sz w:val="24"/>
                <w:szCs w:val="24"/>
                <w:lang w:eastAsia="es-ES"/>
              </w:rPr>
            </w:pPr>
          </w:p>
        </w:tc>
        <w:tc>
          <w:tcPr>
            <w:tcW w:w="6660" w:type="dxa"/>
            <w:tcBorders>
              <w:top w:val="single" w:sz="6" w:space="0" w:color="auto"/>
              <w:left w:val="single" w:sz="18" w:space="0" w:color="auto"/>
              <w:bottom w:val="single" w:sz="12" w:space="0" w:color="auto"/>
              <w:right w:val="single" w:sz="18" w:space="0" w:color="auto"/>
            </w:tcBorders>
            <w:shd w:val="clear" w:color="auto" w:fill="E7E6E6" w:themeFill="background2"/>
            <w:vAlign w:val="center"/>
          </w:tcPr>
          <w:p w14:paraId="2FAEB698" w14:textId="77777777" w:rsidR="002B42B4" w:rsidRPr="002277F0" w:rsidRDefault="002B42B4" w:rsidP="006F0D22">
            <w:pPr>
              <w:spacing w:before="40" w:after="60" w:line="160" w:lineRule="exact"/>
              <w:jc w:val="center"/>
              <w:rPr>
                <w:rFonts w:ascii="Times New Roman" w:eastAsia="Times New Roman" w:hAnsi="Times New Roman" w:cs="Times New Roman"/>
                <w:b/>
                <w:sz w:val="16"/>
                <w:szCs w:val="16"/>
                <w:lang w:eastAsia="es-ES"/>
              </w:rPr>
            </w:pPr>
            <w:r w:rsidRPr="002277F0">
              <w:rPr>
                <w:rFonts w:ascii="Times New Roman" w:eastAsia="Times New Roman" w:hAnsi="Times New Roman" w:cs="Times New Roman"/>
                <w:sz w:val="16"/>
                <w:szCs w:val="16"/>
                <w:lang w:eastAsia="es-ES"/>
              </w:rPr>
              <w:t>Indirectamente podría incidir el valor de referencia pues, en defecto de valor catastral, se imputa el 1,1% al 50% del mayor valor entre el comprobado y el de adquisición (aunque si para obtener el valor de referencia se precisa la referencia catastral, es que existe un valor catastral)</w:t>
            </w:r>
          </w:p>
        </w:tc>
      </w:tr>
      <w:tr w:rsidR="001F739B" w:rsidRPr="000E48AA" w14:paraId="177366EB" w14:textId="77777777" w:rsidTr="0020020C">
        <w:trPr>
          <w:jc w:val="center"/>
        </w:trPr>
        <w:tc>
          <w:tcPr>
            <w:tcW w:w="1798" w:type="dxa"/>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761B6382" w14:textId="77777777" w:rsidR="001F739B" w:rsidRDefault="001F739B" w:rsidP="001F739B">
            <w:pPr>
              <w:spacing w:before="60" w:after="6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Sociedades</w:t>
            </w:r>
          </w:p>
        </w:tc>
        <w:tc>
          <w:tcPr>
            <w:tcW w:w="6660" w:type="dxa"/>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13C569AA" w14:textId="77777777" w:rsidR="001F739B" w:rsidRPr="00D51E71" w:rsidRDefault="001F739B" w:rsidP="001F739B">
            <w:pPr>
              <w:spacing w:before="60" w:after="60" w:line="240" w:lineRule="auto"/>
              <w:jc w:val="center"/>
              <w:rPr>
                <w:rFonts w:ascii="Times New Roman" w:eastAsia="Times New Roman" w:hAnsi="Times New Roman" w:cs="Times New Roman"/>
                <w:b/>
                <w:sz w:val="24"/>
                <w:szCs w:val="24"/>
                <w:lang w:eastAsia="es-ES"/>
              </w:rPr>
            </w:pPr>
            <w:r w:rsidRPr="00541197">
              <w:rPr>
                <w:rFonts w:ascii="Times New Roman" w:eastAsia="Times New Roman" w:hAnsi="Times New Roman" w:cs="Times New Roman"/>
                <w:b/>
                <w:color w:val="000000"/>
                <w:sz w:val="24"/>
                <w:szCs w:val="24"/>
                <w:lang w:eastAsia="es-ES"/>
              </w:rPr>
              <w:t>Importe de la renta</w:t>
            </w:r>
            <w:r>
              <w:rPr>
                <w:rFonts w:ascii="Times New Roman" w:eastAsia="Times New Roman" w:hAnsi="Times New Roman" w:cs="Times New Roman"/>
                <w:b/>
                <w:color w:val="000000"/>
                <w:sz w:val="24"/>
                <w:szCs w:val="24"/>
                <w:lang w:eastAsia="es-ES"/>
              </w:rPr>
              <w:t xml:space="preserve"> obtenida</w:t>
            </w:r>
            <w:r>
              <w:rPr>
                <w:rFonts w:ascii="Times New Roman" w:eastAsia="Times New Roman" w:hAnsi="Times New Roman" w:cs="Times New Roman"/>
                <w:color w:val="000000"/>
                <w:sz w:val="24"/>
                <w:szCs w:val="24"/>
                <w:lang w:eastAsia="es-ES"/>
              </w:rPr>
              <w:t xml:space="preserve"> </w:t>
            </w:r>
            <w:r w:rsidRPr="007D07D5">
              <w:rPr>
                <w:rFonts w:ascii="Times New Roman" w:eastAsia="Times New Roman" w:hAnsi="Times New Roman" w:cs="Times New Roman"/>
                <w:color w:val="000000"/>
                <w:sz w:val="20"/>
                <w:szCs w:val="20"/>
                <w:lang w:eastAsia="es-ES"/>
              </w:rPr>
              <w:t>(</w:t>
            </w:r>
            <w:hyperlink r:id="rId54" w:anchor="a10" w:history="1">
              <w:r w:rsidRPr="007D07D5">
                <w:rPr>
                  <w:rStyle w:val="Hipervnculo"/>
                  <w:rFonts w:ascii="Times New Roman" w:eastAsia="Times New Roman" w:hAnsi="Times New Roman" w:cs="Times New Roman"/>
                  <w:sz w:val="20"/>
                  <w:szCs w:val="20"/>
                  <w:lang w:eastAsia="es-ES"/>
                </w:rPr>
                <w:t>art. 10 Ley 27/2014</w:t>
              </w:r>
            </w:hyperlink>
            <w:r w:rsidRPr="007D07D5">
              <w:rPr>
                <w:rFonts w:ascii="Times New Roman" w:eastAsia="Times New Roman" w:hAnsi="Times New Roman" w:cs="Times New Roman"/>
                <w:color w:val="000000"/>
                <w:sz w:val="20"/>
                <w:szCs w:val="20"/>
                <w:lang w:eastAsia="es-ES"/>
              </w:rPr>
              <w:t>)</w:t>
            </w:r>
          </w:p>
        </w:tc>
      </w:tr>
      <w:tr w:rsidR="001F739B" w:rsidRPr="000E48AA" w14:paraId="09672EBD" w14:textId="77777777" w:rsidTr="003F25D1">
        <w:trPr>
          <w:trHeight w:val="282"/>
          <w:jc w:val="center"/>
        </w:trPr>
        <w:tc>
          <w:tcPr>
            <w:tcW w:w="1798" w:type="dxa"/>
            <w:vMerge w:val="restart"/>
            <w:tcBorders>
              <w:top w:val="single" w:sz="12" w:space="0" w:color="auto"/>
              <w:left w:val="single" w:sz="18" w:space="0" w:color="auto"/>
              <w:right w:val="single" w:sz="18" w:space="0" w:color="auto"/>
            </w:tcBorders>
            <w:shd w:val="clear" w:color="auto" w:fill="E7E6E6" w:themeFill="background2"/>
            <w:vAlign w:val="center"/>
          </w:tcPr>
          <w:p w14:paraId="413FF5C6" w14:textId="77777777" w:rsidR="001F739B" w:rsidRDefault="001F739B" w:rsidP="001F739B">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No residentes</w:t>
            </w:r>
          </w:p>
        </w:tc>
        <w:tc>
          <w:tcPr>
            <w:tcW w:w="6660" w:type="dxa"/>
            <w:tcBorders>
              <w:top w:val="single" w:sz="12" w:space="0" w:color="auto"/>
              <w:left w:val="single" w:sz="18" w:space="0" w:color="auto"/>
              <w:bottom w:val="single" w:sz="8" w:space="0" w:color="auto"/>
              <w:right w:val="single" w:sz="18" w:space="0" w:color="auto"/>
            </w:tcBorders>
            <w:shd w:val="clear" w:color="auto" w:fill="E7E6E6" w:themeFill="background2"/>
            <w:vAlign w:val="center"/>
          </w:tcPr>
          <w:p w14:paraId="4DC493CE" w14:textId="77777777" w:rsidR="001F739B" w:rsidRPr="007930DF" w:rsidRDefault="001F739B" w:rsidP="001F739B">
            <w:pPr>
              <w:spacing w:before="60" w:after="40" w:line="240" w:lineRule="auto"/>
              <w:jc w:val="center"/>
              <w:rPr>
                <w:rFonts w:ascii="Times New Roman" w:eastAsia="Times New Roman" w:hAnsi="Times New Roman" w:cs="Times New Roman"/>
                <w:sz w:val="20"/>
                <w:szCs w:val="20"/>
                <w:lang w:eastAsia="es-ES"/>
              </w:rPr>
            </w:pPr>
            <w:r w:rsidRPr="007930DF">
              <w:rPr>
                <w:rFonts w:ascii="Times New Roman" w:eastAsia="Times New Roman" w:hAnsi="Times New Roman" w:cs="Times New Roman"/>
                <w:b/>
                <w:sz w:val="20"/>
                <w:szCs w:val="20"/>
                <w:lang w:eastAsia="es-ES"/>
              </w:rPr>
              <w:t>Retención del 3% de la contraprestación acordada</w:t>
            </w:r>
            <w:r w:rsidRPr="007930DF">
              <w:rPr>
                <w:rFonts w:ascii="Times New Roman" w:eastAsia="Times New Roman" w:hAnsi="Times New Roman" w:cs="Times New Roman"/>
                <w:sz w:val="20"/>
                <w:szCs w:val="20"/>
                <w:lang w:eastAsia="es-ES"/>
              </w:rPr>
              <w:t xml:space="preserve"> (</w:t>
            </w:r>
            <w:hyperlink r:id="rId55" w:anchor="a25" w:history="1">
              <w:r w:rsidRPr="007930DF">
                <w:rPr>
                  <w:rStyle w:val="Hipervnculo"/>
                  <w:rFonts w:ascii="Times New Roman" w:eastAsia="Times New Roman" w:hAnsi="Times New Roman" w:cs="Times New Roman"/>
                  <w:sz w:val="20"/>
                  <w:szCs w:val="20"/>
                  <w:lang w:eastAsia="es-ES"/>
                </w:rPr>
                <w:t>art. 25-2 D-leg 5/2004</w:t>
              </w:r>
            </w:hyperlink>
            <w:r w:rsidRPr="007930DF">
              <w:rPr>
                <w:rFonts w:ascii="Times New Roman" w:eastAsia="Times New Roman" w:hAnsi="Times New Roman" w:cs="Times New Roman"/>
                <w:sz w:val="20"/>
                <w:szCs w:val="20"/>
                <w:lang w:eastAsia="es-ES"/>
              </w:rPr>
              <w:t>)</w:t>
            </w:r>
          </w:p>
        </w:tc>
      </w:tr>
      <w:tr w:rsidR="001F739B" w:rsidRPr="000E48AA" w14:paraId="6471FABC" w14:textId="77777777" w:rsidTr="0020020C">
        <w:trPr>
          <w:trHeight w:val="281"/>
          <w:jc w:val="center"/>
        </w:trPr>
        <w:tc>
          <w:tcPr>
            <w:tcW w:w="1798" w:type="dxa"/>
            <w:vMerge/>
            <w:tcBorders>
              <w:left w:val="single" w:sz="18" w:space="0" w:color="auto"/>
              <w:bottom w:val="single" w:sz="18" w:space="0" w:color="auto"/>
              <w:right w:val="single" w:sz="18" w:space="0" w:color="auto"/>
            </w:tcBorders>
            <w:shd w:val="clear" w:color="auto" w:fill="E7E6E6" w:themeFill="background2"/>
            <w:vAlign w:val="center"/>
          </w:tcPr>
          <w:p w14:paraId="5678C786" w14:textId="77777777" w:rsidR="001F739B" w:rsidRDefault="001F739B" w:rsidP="001F739B">
            <w:pPr>
              <w:spacing w:before="60" w:after="60" w:line="20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8" w:space="0" w:color="auto"/>
              <w:right w:val="single" w:sz="18" w:space="0" w:color="auto"/>
            </w:tcBorders>
            <w:shd w:val="clear" w:color="auto" w:fill="E7E6E6" w:themeFill="background2"/>
            <w:vAlign w:val="center"/>
          </w:tcPr>
          <w:p w14:paraId="728B48BA" w14:textId="77777777" w:rsidR="001F739B" w:rsidRPr="00FF4443" w:rsidRDefault="001F739B" w:rsidP="0056799B">
            <w:pPr>
              <w:spacing w:before="20" w:after="60" w:line="200" w:lineRule="exact"/>
              <w:jc w:val="center"/>
              <w:rPr>
                <w:rFonts w:ascii="Times New Roman" w:eastAsia="Times New Roman" w:hAnsi="Times New Roman" w:cs="Times New Roman"/>
                <w:b/>
                <w:sz w:val="20"/>
                <w:szCs w:val="20"/>
                <w:lang w:eastAsia="es-ES"/>
              </w:rPr>
            </w:pPr>
            <w:r w:rsidRPr="00FF4443">
              <w:rPr>
                <w:rFonts w:ascii="Times New Roman" w:eastAsia="Times New Roman" w:hAnsi="Times New Roman" w:cs="Times New Roman"/>
                <w:b/>
                <w:sz w:val="20"/>
                <w:szCs w:val="20"/>
                <w:lang w:eastAsia="es-ES"/>
              </w:rPr>
              <w:t>En la determ</w:t>
            </w:r>
            <w:r>
              <w:rPr>
                <w:rFonts w:ascii="Times New Roman" w:eastAsia="Times New Roman" w:hAnsi="Times New Roman" w:cs="Times New Roman"/>
                <w:b/>
                <w:sz w:val="20"/>
                <w:szCs w:val="20"/>
                <w:lang w:eastAsia="es-ES"/>
              </w:rPr>
              <w:t>inación de la ganancia se remite</w:t>
            </w:r>
            <w:r w:rsidRPr="00FF4443">
              <w:rPr>
                <w:rFonts w:ascii="Times New Roman" w:eastAsia="Times New Roman" w:hAnsi="Times New Roman" w:cs="Times New Roman"/>
                <w:b/>
                <w:sz w:val="20"/>
                <w:szCs w:val="20"/>
                <w:lang w:eastAsia="es-ES"/>
              </w:rPr>
              <w:t xml:space="preserve">, con excepciones, según haya o no mediación de establecimiento permanente, al Impuesto sobre Sociedades </w:t>
            </w:r>
            <w:r w:rsidRPr="00FF4443">
              <w:rPr>
                <w:rFonts w:ascii="Times New Roman" w:eastAsia="Times New Roman" w:hAnsi="Times New Roman" w:cs="Times New Roman"/>
                <w:sz w:val="20"/>
                <w:szCs w:val="20"/>
                <w:lang w:eastAsia="es-ES"/>
              </w:rPr>
              <w:t>(</w:t>
            </w:r>
            <w:hyperlink r:id="rId56" w:anchor="a18" w:history="1">
              <w:r w:rsidRPr="009E20F0">
                <w:rPr>
                  <w:rStyle w:val="Hipervnculo"/>
                  <w:rFonts w:ascii="Times New Roman" w:eastAsia="Times New Roman" w:hAnsi="Times New Roman" w:cs="Times New Roman"/>
                  <w:sz w:val="20"/>
                  <w:szCs w:val="20"/>
                  <w:lang w:eastAsia="es-ES"/>
                </w:rPr>
                <w:t>art. 18 D-leg 5/2004</w:t>
              </w:r>
            </w:hyperlink>
            <w:r w:rsidRPr="00FF4443">
              <w:rPr>
                <w:rFonts w:ascii="Times New Roman" w:eastAsia="Times New Roman" w:hAnsi="Times New Roman" w:cs="Times New Roman"/>
                <w:sz w:val="20"/>
                <w:szCs w:val="20"/>
                <w:lang w:eastAsia="es-ES"/>
              </w:rPr>
              <w:t>)</w:t>
            </w:r>
            <w:r w:rsidRPr="00FF4443">
              <w:rPr>
                <w:rFonts w:ascii="Times New Roman" w:eastAsia="Times New Roman" w:hAnsi="Times New Roman" w:cs="Times New Roman"/>
                <w:b/>
                <w:sz w:val="20"/>
                <w:szCs w:val="20"/>
                <w:lang w:eastAsia="es-ES"/>
              </w:rPr>
              <w:t xml:space="preserve"> o al IRPF </w:t>
            </w:r>
            <w:r w:rsidRPr="00FF4443">
              <w:rPr>
                <w:rFonts w:ascii="Times New Roman" w:eastAsia="Times New Roman" w:hAnsi="Times New Roman" w:cs="Times New Roman"/>
                <w:sz w:val="20"/>
                <w:szCs w:val="20"/>
                <w:lang w:eastAsia="es-ES"/>
              </w:rPr>
              <w:t>(</w:t>
            </w:r>
            <w:hyperlink r:id="rId57" w:anchor="a24" w:history="1">
              <w:r w:rsidRPr="00FF4443">
                <w:rPr>
                  <w:rStyle w:val="Hipervnculo"/>
                  <w:rFonts w:ascii="Times New Roman" w:eastAsia="Times New Roman" w:hAnsi="Times New Roman" w:cs="Times New Roman"/>
                  <w:sz w:val="20"/>
                  <w:szCs w:val="20"/>
                  <w:lang w:eastAsia="es-ES"/>
                </w:rPr>
                <w:t>art. 24-4 D-leg 5/2004</w:t>
              </w:r>
            </w:hyperlink>
            <w:r w:rsidRPr="00FF4443">
              <w:rPr>
                <w:rFonts w:ascii="Times New Roman" w:eastAsia="Times New Roman" w:hAnsi="Times New Roman" w:cs="Times New Roman"/>
                <w:sz w:val="20"/>
                <w:szCs w:val="20"/>
                <w:lang w:eastAsia="es-ES"/>
              </w:rPr>
              <w:t>)</w:t>
            </w:r>
          </w:p>
        </w:tc>
      </w:tr>
    </w:tbl>
    <w:p w14:paraId="03ACDF2F" w14:textId="77777777" w:rsidR="00FA2F36" w:rsidRDefault="00FA2F36"/>
    <w:p w14:paraId="4313F914" w14:textId="77777777" w:rsidR="00FA2F36" w:rsidRDefault="00FA2F36" w:rsidP="00FA2F36">
      <w:pPr>
        <w:spacing w:after="0" w:line="220" w:lineRule="exact"/>
      </w:pPr>
      <w:bookmarkStart w:id="5" w:name="_Hlk160178761"/>
      <w:bookmarkStart w:id="6" w:name="_Hlk1601786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660"/>
      </w:tblGrid>
      <w:tr w:rsidR="00FA2F36" w:rsidRPr="000E48AA" w14:paraId="285B7DD0" w14:textId="77777777" w:rsidTr="009D1F7D">
        <w:trPr>
          <w:trHeight w:hRule="exact" w:val="720"/>
          <w:jc w:val="center"/>
        </w:trPr>
        <w:tc>
          <w:tcPr>
            <w:tcW w:w="1798" w:type="dxa"/>
            <w:tcBorders>
              <w:top w:val="single" w:sz="18" w:space="0" w:color="FFFFFF"/>
              <w:left w:val="single" w:sz="18" w:space="0" w:color="FFFFFF"/>
              <w:bottom w:val="single" w:sz="18" w:space="0" w:color="auto"/>
              <w:right w:val="single" w:sz="18" w:space="0" w:color="auto"/>
            </w:tcBorders>
            <w:shd w:val="clear" w:color="auto" w:fill="FFFFFF"/>
          </w:tcPr>
          <w:p w14:paraId="70473F57" w14:textId="77777777" w:rsidR="00FA2F36" w:rsidRDefault="00FA2F36" w:rsidP="00431B81">
            <w:pPr>
              <w:spacing w:after="0" w:line="240" w:lineRule="auto"/>
              <w:jc w:val="center"/>
              <w:rPr>
                <w:rFonts w:ascii="Times New Roman" w:eastAsia="Times New Roman" w:hAnsi="Times New Roman" w:cs="Times New Roman"/>
                <w:sz w:val="24"/>
                <w:szCs w:val="24"/>
                <w:lang w:eastAsia="es-ES"/>
              </w:rPr>
            </w:pPr>
          </w:p>
          <w:p w14:paraId="7855ECF4" w14:textId="77777777" w:rsidR="00FA2F36" w:rsidRDefault="00FA2F36" w:rsidP="00431B81">
            <w:pPr>
              <w:spacing w:after="0" w:line="240" w:lineRule="auto"/>
              <w:jc w:val="center"/>
              <w:rPr>
                <w:rFonts w:ascii="Times New Roman" w:eastAsia="Times New Roman" w:hAnsi="Times New Roman" w:cs="Times New Roman"/>
                <w:sz w:val="24"/>
                <w:szCs w:val="24"/>
                <w:lang w:eastAsia="es-ES"/>
              </w:rPr>
            </w:pPr>
          </w:p>
          <w:p w14:paraId="137052B1" w14:textId="77777777" w:rsidR="00FA2F36" w:rsidRPr="000E48AA" w:rsidRDefault="00FA2F36" w:rsidP="00431B81">
            <w:pPr>
              <w:spacing w:after="0" w:line="240" w:lineRule="auto"/>
              <w:jc w:val="center"/>
              <w:rPr>
                <w:rFonts w:ascii="Times New Roman" w:eastAsia="Times New Roman" w:hAnsi="Times New Roman" w:cs="Times New Roman"/>
                <w:sz w:val="24"/>
                <w:szCs w:val="24"/>
                <w:lang w:eastAsia="es-ES"/>
              </w:rPr>
            </w:pPr>
          </w:p>
        </w:tc>
        <w:tc>
          <w:tcPr>
            <w:tcW w:w="6660" w:type="dxa"/>
            <w:tcBorders>
              <w:top w:val="single" w:sz="18" w:space="0" w:color="auto"/>
              <w:left w:val="single" w:sz="18" w:space="0" w:color="auto"/>
              <w:bottom w:val="single" w:sz="18" w:space="0" w:color="auto"/>
              <w:right w:val="single" w:sz="18" w:space="0" w:color="auto"/>
            </w:tcBorders>
            <w:shd w:val="clear" w:color="auto" w:fill="CCCCCC"/>
            <w:vAlign w:val="center"/>
          </w:tcPr>
          <w:p w14:paraId="57210221" w14:textId="5F6E3F72" w:rsidR="00FA2F36" w:rsidRPr="005671EF" w:rsidRDefault="00D036C6" w:rsidP="00D036C6">
            <w:pPr>
              <w:spacing w:before="60" w:after="0" w:line="240" w:lineRule="exact"/>
              <w:jc w:val="center"/>
              <w:rPr>
                <w:rFonts w:ascii="Times New Roman" w:eastAsia="Times New Roman" w:hAnsi="Times New Roman" w:cs="Times New Roman"/>
                <w:b/>
                <w:color w:val="000000"/>
                <w:sz w:val="28"/>
                <w:szCs w:val="28"/>
                <w:lang w:eastAsia="es-ES"/>
              </w:rPr>
            </w:pPr>
            <w:r>
              <w:rPr>
                <w:rFonts w:ascii="Times New Roman" w:eastAsia="Times New Roman" w:hAnsi="Times New Roman" w:cs="Times New Roman"/>
                <w:b/>
                <w:color w:val="000000"/>
                <w:sz w:val="28"/>
                <w:szCs w:val="28"/>
                <w:lang w:eastAsia="es-ES"/>
              </w:rPr>
              <w:t>4</w:t>
            </w:r>
            <w:r w:rsidR="00FA2F36" w:rsidRPr="005671EF">
              <w:rPr>
                <w:rFonts w:ascii="Times New Roman" w:eastAsia="Times New Roman" w:hAnsi="Times New Roman" w:cs="Times New Roman"/>
                <w:b/>
                <w:color w:val="000000"/>
                <w:sz w:val="28"/>
                <w:szCs w:val="28"/>
                <w:lang w:eastAsia="es-ES"/>
              </w:rPr>
              <w:t xml:space="preserve">. </w:t>
            </w:r>
            <w:bookmarkStart w:id="7" w:name="DISCUTIDOS"/>
            <w:bookmarkEnd w:id="7"/>
            <w:r w:rsidR="00FA2F36" w:rsidRPr="005671EF">
              <w:rPr>
                <w:rFonts w:ascii="Times New Roman" w:eastAsia="Times New Roman" w:hAnsi="Times New Roman" w:cs="Times New Roman"/>
                <w:b/>
                <w:color w:val="000000"/>
                <w:sz w:val="28"/>
                <w:szCs w:val="28"/>
                <w:lang w:eastAsia="es-ES"/>
              </w:rPr>
              <w:t>SUPUESTOS DE DISCUTIDA AFECTACIÓN POR EL VALOR DE REFERENCIA</w:t>
            </w:r>
          </w:p>
        </w:tc>
      </w:tr>
      <w:tr w:rsidR="009D22DD" w:rsidRPr="000E48AA" w14:paraId="4F19A351" w14:textId="77777777" w:rsidTr="009D22DD">
        <w:trPr>
          <w:trHeight w:val="946"/>
          <w:jc w:val="center"/>
        </w:trPr>
        <w:tc>
          <w:tcPr>
            <w:tcW w:w="1798" w:type="dxa"/>
            <w:vMerge w:val="restart"/>
            <w:tcBorders>
              <w:left w:val="single" w:sz="18" w:space="0" w:color="auto"/>
              <w:right w:val="single" w:sz="18" w:space="0" w:color="auto"/>
            </w:tcBorders>
            <w:shd w:val="clear" w:color="auto" w:fill="auto"/>
            <w:vAlign w:val="center"/>
          </w:tcPr>
          <w:p w14:paraId="2350D7E6" w14:textId="2B49CC10" w:rsidR="009D22DD" w:rsidRDefault="009D22DD" w:rsidP="00431B81">
            <w:pPr>
              <w:spacing w:before="60" w:after="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Vivienda protegida</w:t>
            </w:r>
          </w:p>
        </w:tc>
        <w:tc>
          <w:tcPr>
            <w:tcW w:w="6660" w:type="dxa"/>
            <w:tcBorders>
              <w:top w:val="single" w:sz="6" w:space="0" w:color="auto"/>
              <w:left w:val="single" w:sz="18" w:space="0" w:color="auto"/>
              <w:bottom w:val="single" w:sz="4" w:space="0" w:color="auto"/>
              <w:right w:val="single" w:sz="18" w:space="0" w:color="auto"/>
            </w:tcBorders>
            <w:shd w:val="clear" w:color="auto" w:fill="auto"/>
            <w:vAlign w:val="center"/>
          </w:tcPr>
          <w:p w14:paraId="6F774EDF" w14:textId="3C7286EA" w:rsidR="009D22DD" w:rsidRPr="009D22DD" w:rsidRDefault="009D22DD" w:rsidP="008C1C91">
            <w:pPr>
              <w:spacing w:before="60" w:after="20" w:line="180" w:lineRule="exact"/>
              <w:jc w:val="both"/>
              <w:rPr>
                <w:rFonts w:ascii="Times New Roman" w:eastAsia="Times New Roman" w:hAnsi="Times New Roman" w:cs="Times New Roman"/>
                <w:sz w:val="18"/>
                <w:szCs w:val="18"/>
                <w:lang w:eastAsia="es-ES"/>
              </w:rPr>
            </w:pPr>
            <w:r w:rsidRPr="009D1F7D">
              <w:rPr>
                <w:rFonts w:ascii="Times New Roman" w:eastAsia="Times New Roman" w:hAnsi="Times New Roman" w:cs="Times New Roman"/>
                <w:sz w:val="18"/>
                <w:szCs w:val="18"/>
                <w:lang w:eastAsia="es-ES"/>
              </w:rPr>
              <w:t xml:space="preserve">La </w:t>
            </w:r>
            <w:hyperlink r:id="rId58" w:history="1">
              <w:r w:rsidRPr="009D1F7D">
                <w:rPr>
                  <w:rStyle w:val="Hipervnculo"/>
                  <w:rFonts w:ascii="Times New Roman" w:eastAsia="Times New Roman" w:hAnsi="Times New Roman" w:cs="Times New Roman"/>
                  <w:sz w:val="18"/>
                  <w:szCs w:val="18"/>
                  <w:lang w:eastAsia="es-ES"/>
                </w:rPr>
                <w:t>Resolución DGT 17/02/2022</w:t>
              </w:r>
            </w:hyperlink>
            <w:r w:rsidRPr="009D1F7D">
              <w:rPr>
                <w:rFonts w:ascii="Times New Roman" w:eastAsia="Times New Roman" w:hAnsi="Times New Roman" w:cs="Times New Roman"/>
                <w:sz w:val="18"/>
                <w:szCs w:val="18"/>
                <w:lang w:eastAsia="es-ES"/>
              </w:rPr>
              <w:t xml:space="preserve"> dice que “</w:t>
            </w:r>
            <w:r w:rsidRPr="009D1F7D">
              <w:rPr>
                <w:rFonts w:ascii="Times New Roman" w:eastAsia="Times New Roman" w:hAnsi="Times New Roman" w:cs="Times New Roman"/>
                <w:i/>
                <w:sz w:val="18"/>
                <w:szCs w:val="18"/>
                <w:lang w:eastAsia="es-ES"/>
              </w:rPr>
              <w:t>... presuponiendo la vigencia del régimen legal de vivienda protegida que sea aplicable, el valor de referencia de la vivienda no debería superar el precio máximo de venta asignado dicha vivienda. En caso de así fuese, el interesado, con independencia de la obligación de practicar autoliquidación por la modalidad de transmisiones patrimoniales onerosas del ITPAJD por el valor de referencia asignado, podrá solicitar la rectificación de la autoliquidación en los términos establecidos en el artículo 10 del TRLITPAJD...</w:t>
            </w:r>
            <w:r w:rsidRPr="009D1F7D">
              <w:rPr>
                <w:rFonts w:ascii="Times New Roman" w:eastAsia="Times New Roman" w:hAnsi="Times New Roman" w:cs="Times New Roman"/>
                <w:sz w:val="18"/>
                <w:szCs w:val="18"/>
                <w:lang w:eastAsia="es-ES"/>
              </w:rPr>
              <w:t>”.</w:t>
            </w:r>
          </w:p>
        </w:tc>
      </w:tr>
      <w:tr w:rsidR="009D22DD" w:rsidRPr="000E48AA" w14:paraId="49FAD1E8" w14:textId="77777777" w:rsidTr="00732848">
        <w:trPr>
          <w:trHeight w:val="619"/>
          <w:jc w:val="center"/>
        </w:trPr>
        <w:tc>
          <w:tcPr>
            <w:tcW w:w="1798" w:type="dxa"/>
            <w:vMerge/>
            <w:tcBorders>
              <w:left w:val="single" w:sz="18" w:space="0" w:color="auto"/>
              <w:bottom w:val="single" w:sz="12" w:space="0" w:color="auto"/>
              <w:right w:val="single" w:sz="18" w:space="0" w:color="auto"/>
            </w:tcBorders>
            <w:shd w:val="clear" w:color="auto" w:fill="auto"/>
            <w:vAlign w:val="center"/>
          </w:tcPr>
          <w:p w14:paraId="6BE09765" w14:textId="77777777" w:rsidR="009D22DD" w:rsidRDefault="009D22DD" w:rsidP="00431B81">
            <w:pPr>
              <w:spacing w:before="60" w:after="0" w:line="200" w:lineRule="exact"/>
              <w:jc w:val="center"/>
              <w:rPr>
                <w:rFonts w:ascii="Times New Roman" w:eastAsia="Times New Roman" w:hAnsi="Times New Roman" w:cs="Times New Roman"/>
                <w:b/>
                <w:sz w:val="24"/>
                <w:szCs w:val="24"/>
                <w:lang w:eastAsia="es-ES"/>
              </w:rPr>
            </w:pPr>
          </w:p>
        </w:tc>
        <w:tc>
          <w:tcPr>
            <w:tcW w:w="6660" w:type="dxa"/>
            <w:tcBorders>
              <w:top w:val="single" w:sz="4" w:space="0" w:color="auto"/>
              <w:left w:val="single" w:sz="18" w:space="0" w:color="auto"/>
              <w:bottom w:val="single" w:sz="12" w:space="0" w:color="auto"/>
              <w:right w:val="single" w:sz="18" w:space="0" w:color="auto"/>
            </w:tcBorders>
            <w:shd w:val="clear" w:color="auto" w:fill="auto"/>
            <w:vAlign w:val="center"/>
          </w:tcPr>
          <w:p w14:paraId="221CE7F1" w14:textId="10AE9481" w:rsidR="009D22DD" w:rsidRPr="00732848" w:rsidRDefault="009D22DD" w:rsidP="00732848">
            <w:pPr>
              <w:spacing w:before="20" w:after="40" w:line="160" w:lineRule="exact"/>
              <w:jc w:val="both"/>
              <w:rPr>
                <w:rFonts w:ascii="Times New Roman" w:eastAsia="Times New Roman" w:hAnsi="Times New Roman" w:cs="Times New Roman"/>
                <w:sz w:val="18"/>
                <w:szCs w:val="18"/>
                <w:lang w:eastAsia="es-ES"/>
              </w:rPr>
            </w:pPr>
            <w:r w:rsidRPr="00732848">
              <w:rPr>
                <w:rFonts w:ascii="Times New Roman" w:eastAsia="Times New Roman" w:hAnsi="Times New Roman" w:cs="Times New Roman"/>
                <w:color w:val="000000"/>
                <w:sz w:val="18"/>
                <w:szCs w:val="18"/>
                <w:lang w:eastAsia="es-ES"/>
              </w:rPr>
              <w:t xml:space="preserve">En contradicción con la </w:t>
            </w:r>
            <w:hyperlink r:id="rId59" w:history="1">
              <w:r w:rsidRPr="00732848">
                <w:rPr>
                  <w:rStyle w:val="Hipervnculo"/>
                  <w:rFonts w:ascii="Times New Roman" w:eastAsia="Times New Roman" w:hAnsi="Times New Roman" w:cs="Times New Roman"/>
                  <w:sz w:val="18"/>
                  <w:szCs w:val="18"/>
                  <w:lang w:eastAsia="es-ES"/>
                </w:rPr>
                <w:t>Resolución de la DG del Catastro que cada año publica su sede electrónica</w:t>
              </w:r>
            </w:hyperlink>
            <w:r w:rsidRPr="00732848">
              <w:rPr>
                <w:rFonts w:ascii="Times New Roman" w:eastAsia="Times New Roman" w:hAnsi="Times New Roman" w:cs="Times New Roman"/>
                <w:color w:val="000000"/>
                <w:sz w:val="18"/>
                <w:szCs w:val="18"/>
                <w:lang w:eastAsia="es-ES"/>
              </w:rPr>
              <w:t>, y que excluye del ámbito de aplicación del valor de referencia los supuestos en que el precio estuviera limitado administrativamente; por lo que parece que en tales casos el valor de referencia ha de tener como límite el precio máximo.</w:t>
            </w:r>
          </w:p>
        </w:tc>
      </w:tr>
      <w:tr w:rsidR="008C1C91" w:rsidRPr="000E48AA" w14:paraId="3104F8C6" w14:textId="77777777" w:rsidTr="004859C4">
        <w:trPr>
          <w:trHeight w:val="507"/>
          <w:jc w:val="center"/>
        </w:trPr>
        <w:tc>
          <w:tcPr>
            <w:tcW w:w="1798" w:type="dxa"/>
            <w:vMerge w:val="restart"/>
            <w:tcBorders>
              <w:top w:val="single" w:sz="12" w:space="0" w:color="auto"/>
              <w:left w:val="single" w:sz="18" w:space="0" w:color="auto"/>
              <w:right w:val="single" w:sz="18" w:space="0" w:color="auto"/>
            </w:tcBorders>
            <w:shd w:val="clear" w:color="auto" w:fill="E7E6E6" w:themeFill="background2"/>
            <w:vAlign w:val="center"/>
          </w:tcPr>
          <w:p w14:paraId="259B4041" w14:textId="77777777" w:rsidR="008C1C91" w:rsidRDefault="008C1C91" w:rsidP="000E2F0C">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Subasta pública</w:t>
            </w:r>
          </w:p>
        </w:tc>
        <w:tc>
          <w:tcPr>
            <w:tcW w:w="6660" w:type="dxa"/>
            <w:tcBorders>
              <w:top w:val="single" w:sz="12" w:space="0" w:color="auto"/>
              <w:left w:val="single" w:sz="18" w:space="0" w:color="auto"/>
              <w:bottom w:val="single" w:sz="4" w:space="0" w:color="auto"/>
              <w:right w:val="single" w:sz="18" w:space="0" w:color="auto"/>
            </w:tcBorders>
            <w:shd w:val="clear" w:color="auto" w:fill="E7E6E6" w:themeFill="background2"/>
            <w:vAlign w:val="center"/>
          </w:tcPr>
          <w:p w14:paraId="4FFCD1AF" w14:textId="779FBD06" w:rsidR="008C1C91" w:rsidRPr="008C1C91" w:rsidRDefault="008C1C91" w:rsidP="00732848">
            <w:pPr>
              <w:spacing w:before="40" w:after="20" w:line="180" w:lineRule="exact"/>
              <w:jc w:val="both"/>
              <w:rPr>
                <w:rFonts w:ascii="Times New Roman" w:eastAsia="Times New Roman" w:hAnsi="Times New Roman" w:cs="Times New Roman"/>
                <w:sz w:val="18"/>
                <w:szCs w:val="18"/>
                <w:lang w:eastAsia="es-ES"/>
              </w:rPr>
            </w:pPr>
            <w:r w:rsidRPr="008C1C91">
              <w:rPr>
                <w:rFonts w:ascii="Times New Roman" w:eastAsia="Times New Roman" w:hAnsi="Times New Roman" w:cs="Times New Roman"/>
                <w:sz w:val="18"/>
                <w:szCs w:val="18"/>
                <w:lang w:eastAsia="es-ES"/>
              </w:rPr>
              <w:t xml:space="preserve">En las transmisiones de inmuebles mediante subasta pública, notarial, judicial o administrativa, se aplica también el valor de referencia si es superior al de adquisición y, sólo en defecto de tal valor de referencia, juega la regla del </w:t>
            </w:r>
            <w:hyperlink r:id="rId60" w:anchor="a39" w:history="1">
              <w:r w:rsidRPr="008C1C91">
                <w:rPr>
                  <w:rStyle w:val="Hipervnculo"/>
                  <w:rFonts w:ascii="Times New Roman" w:eastAsia="Times New Roman" w:hAnsi="Times New Roman" w:cs="Times New Roman"/>
                  <w:sz w:val="18"/>
                  <w:szCs w:val="18"/>
                  <w:lang w:eastAsia="es-ES"/>
                </w:rPr>
                <w:t>art. 39 del Reglamento</w:t>
              </w:r>
            </w:hyperlink>
            <w:r w:rsidRPr="008C1C91">
              <w:rPr>
                <w:rFonts w:ascii="Times New Roman" w:eastAsia="Times New Roman" w:hAnsi="Times New Roman" w:cs="Times New Roman"/>
                <w:sz w:val="18"/>
                <w:szCs w:val="18"/>
                <w:lang w:eastAsia="es-ES"/>
              </w:rPr>
              <w:t xml:space="preserve"> de que el valor de mercado es el de adquisición (</w:t>
            </w:r>
            <w:hyperlink r:id="rId61" w:history="1">
              <w:r w:rsidRPr="008C1C91">
                <w:rPr>
                  <w:rStyle w:val="Hipervnculo"/>
                  <w:rFonts w:ascii="Times New Roman" w:eastAsia="Times New Roman" w:hAnsi="Times New Roman" w:cs="Times New Roman"/>
                  <w:sz w:val="18"/>
                  <w:szCs w:val="18"/>
                  <w:lang w:eastAsia="es-ES"/>
                </w:rPr>
                <w:t>Resoluciones DGT 09/03/2022</w:t>
              </w:r>
            </w:hyperlink>
            <w:r w:rsidRPr="008C1C91">
              <w:rPr>
                <w:rFonts w:ascii="Times New Roman" w:eastAsia="Times New Roman" w:hAnsi="Times New Roman" w:cs="Times New Roman"/>
                <w:sz w:val="18"/>
                <w:szCs w:val="18"/>
                <w:lang w:eastAsia="es-ES"/>
              </w:rPr>
              <w:t xml:space="preserve"> </w:t>
            </w:r>
            <w:r w:rsidRPr="008C1C91">
              <w:rPr>
                <w:rFonts w:ascii="Times New Roman" w:hAnsi="Times New Roman" w:cs="Times New Roman"/>
                <w:sz w:val="18"/>
                <w:szCs w:val="18"/>
              </w:rPr>
              <w:t xml:space="preserve">y </w:t>
            </w:r>
            <w:hyperlink r:id="rId62" w:history="1">
              <w:r w:rsidRPr="008C1C91">
                <w:rPr>
                  <w:rStyle w:val="Hipervnculo"/>
                  <w:rFonts w:ascii="Times New Roman" w:hAnsi="Times New Roman" w:cs="Times New Roman"/>
                  <w:sz w:val="18"/>
                  <w:szCs w:val="18"/>
                </w:rPr>
                <w:t>27/06/2023</w:t>
              </w:r>
            </w:hyperlink>
            <w:r w:rsidRPr="008C1C91">
              <w:rPr>
                <w:rFonts w:ascii="Times New Roman" w:hAnsi="Times New Roman" w:cs="Times New Roman"/>
                <w:sz w:val="18"/>
                <w:szCs w:val="18"/>
              </w:rPr>
              <w:t>).</w:t>
            </w:r>
          </w:p>
        </w:tc>
      </w:tr>
      <w:tr w:rsidR="008C1C91" w:rsidRPr="000E48AA" w14:paraId="434A6869" w14:textId="77777777" w:rsidTr="004859C4">
        <w:trPr>
          <w:trHeight w:val="507"/>
          <w:jc w:val="center"/>
        </w:trPr>
        <w:tc>
          <w:tcPr>
            <w:tcW w:w="1798" w:type="dxa"/>
            <w:vMerge/>
            <w:tcBorders>
              <w:left w:val="single" w:sz="18" w:space="0" w:color="auto"/>
              <w:bottom w:val="single" w:sz="12" w:space="0" w:color="auto"/>
              <w:right w:val="single" w:sz="18" w:space="0" w:color="auto"/>
            </w:tcBorders>
            <w:shd w:val="clear" w:color="auto" w:fill="E7E6E6" w:themeFill="background2"/>
            <w:vAlign w:val="center"/>
          </w:tcPr>
          <w:p w14:paraId="7881CE0C" w14:textId="77777777" w:rsidR="008C1C91" w:rsidRDefault="008C1C91" w:rsidP="000E2F0C">
            <w:pPr>
              <w:spacing w:before="60" w:after="60" w:line="200" w:lineRule="exact"/>
              <w:jc w:val="center"/>
              <w:rPr>
                <w:rFonts w:ascii="Times New Roman" w:eastAsia="Times New Roman" w:hAnsi="Times New Roman" w:cs="Times New Roman"/>
                <w:b/>
                <w:sz w:val="24"/>
                <w:szCs w:val="24"/>
                <w:lang w:eastAsia="es-ES"/>
              </w:rPr>
            </w:pPr>
          </w:p>
        </w:tc>
        <w:tc>
          <w:tcPr>
            <w:tcW w:w="6660" w:type="dxa"/>
            <w:tcBorders>
              <w:top w:val="single" w:sz="4" w:space="0" w:color="auto"/>
              <w:left w:val="single" w:sz="18" w:space="0" w:color="auto"/>
              <w:bottom w:val="single" w:sz="12" w:space="0" w:color="auto"/>
              <w:right w:val="single" w:sz="18" w:space="0" w:color="auto"/>
            </w:tcBorders>
            <w:shd w:val="clear" w:color="auto" w:fill="E7E6E6" w:themeFill="background2"/>
            <w:vAlign w:val="center"/>
          </w:tcPr>
          <w:p w14:paraId="26CA8B30" w14:textId="1107566D" w:rsidR="008C1C91" w:rsidRPr="00732848" w:rsidRDefault="008C1C91" w:rsidP="00732848">
            <w:pPr>
              <w:spacing w:before="20" w:after="40" w:line="160" w:lineRule="exact"/>
              <w:jc w:val="both"/>
              <w:rPr>
                <w:rFonts w:ascii="Times New Roman" w:eastAsia="Times New Roman" w:hAnsi="Times New Roman" w:cs="Times New Roman"/>
                <w:sz w:val="18"/>
                <w:szCs w:val="18"/>
                <w:lang w:eastAsia="es-ES"/>
              </w:rPr>
            </w:pPr>
            <w:r w:rsidRPr="00732848">
              <w:rPr>
                <w:rFonts w:ascii="Times New Roman" w:eastAsia="Times New Roman" w:hAnsi="Times New Roman" w:cs="Times New Roman"/>
                <w:color w:val="000000"/>
                <w:sz w:val="18"/>
                <w:szCs w:val="18"/>
                <w:lang w:eastAsia="es-ES"/>
              </w:rPr>
              <w:t xml:space="preserve">En contradicción con la </w:t>
            </w:r>
            <w:hyperlink r:id="rId63" w:history="1">
              <w:r w:rsidRPr="00732848">
                <w:rPr>
                  <w:rStyle w:val="Hipervnculo"/>
                  <w:rFonts w:ascii="Times New Roman" w:eastAsia="Times New Roman" w:hAnsi="Times New Roman" w:cs="Times New Roman"/>
                  <w:sz w:val="18"/>
                  <w:szCs w:val="18"/>
                  <w:lang w:eastAsia="es-ES"/>
                </w:rPr>
                <w:t>Resolución de la DG del Catastro que cada año publica su sede electrónica</w:t>
              </w:r>
            </w:hyperlink>
            <w:r w:rsidRPr="00732848">
              <w:rPr>
                <w:rFonts w:ascii="Times New Roman" w:eastAsia="Times New Roman" w:hAnsi="Times New Roman" w:cs="Times New Roman"/>
                <w:color w:val="000000"/>
                <w:sz w:val="18"/>
                <w:szCs w:val="18"/>
                <w:lang w:eastAsia="es-ES"/>
              </w:rPr>
              <w:t>, y que excluye del ámbito de aplicación del valor de referencia los supuestos de subasta pública (también notarial).</w:t>
            </w:r>
          </w:p>
        </w:tc>
      </w:tr>
      <w:tr w:rsidR="002A37C0" w:rsidRPr="000E48AA" w14:paraId="68F1CCBB" w14:textId="77777777" w:rsidTr="002A37C0">
        <w:trPr>
          <w:trHeight w:val="507"/>
          <w:jc w:val="center"/>
        </w:trPr>
        <w:tc>
          <w:tcPr>
            <w:tcW w:w="1798" w:type="dxa"/>
            <w:tcBorders>
              <w:left w:val="single" w:sz="18" w:space="0" w:color="auto"/>
              <w:bottom w:val="single" w:sz="12" w:space="0" w:color="auto"/>
              <w:right w:val="single" w:sz="18" w:space="0" w:color="auto"/>
            </w:tcBorders>
            <w:shd w:val="clear" w:color="auto" w:fill="FFFFFF" w:themeFill="background1"/>
            <w:vAlign w:val="center"/>
          </w:tcPr>
          <w:p w14:paraId="1EA663D6" w14:textId="27170507" w:rsidR="002A37C0" w:rsidRDefault="002A37C0" w:rsidP="000E2F0C">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Vivienda okupada</w:t>
            </w:r>
          </w:p>
        </w:tc>
        <w:tc>
          <w:tcPr>
            <w:tcW w:w="6660" w:type="dxa"/>
            <w:tcBorders>
              <w:top w:val="single" w:sz="4" w:space="0" w:color="auto"/>
              <w:left w:val="single" w:sz="18" w:space="0" w:color="auto"/>
              <w:bottom w:val="single" w:sz="12" w:space="0" w:color="auto"/>
              <w:right w:val="single" w:sz="18" w:space="0" w:color="auto"/>
            </w:tcBorders>
            <w:shd w:val="clear" w:color="auto" w:fill="FFFFFF" w:themeFill="background1"/>
            <w:vAlign w:val="center"/>
          </w:tcPr>
          <w:p w14:paraId="7050DB16" w14:textId="33957B77" w:rsidR="002A37C0" w:rsidRPr="00D36ED1" w:rsidRDefault="002A37C0" w:rsidP="005D45AE">
            <w:pPr>
              <w:spacing w:before="40" w:after="40" w:line="180" w:lineRule="exact"/>
              <w:jc w:val="both"/>
              <w:rPr>
                <w:rFonts w:ascii="Times New Roman" w:eastAsia="Times New Roman" w:hAnsi="Times New Roman" w:cs="Times New Roman"/>
                <w:color w:val="000000"/>
                <w:sz w:val="20"/>
                <w:szCs w:val="20"/>
                <w:lang w:eastAsia="es-ES"/>
              </w:rPr>
            </w:pPr>
            <w:r w:rsidRPr="00D36ED1">
              <w:rPr>
                <w:rFonts w:ascii="Times New Roman" w:eastAsia="Times New Roman" w:hAnsi="Times New Roman" w:cs="Times New Roman"/>
                <w:color w:val="000000"/>
                <w:sz w:val="20"/>
                <w:szCs w:val="20"/>
                <w:lang w:eastAsia="es-ES"/>
              </w:rPr>
              <w:t xml:space="preserve">La </w:t>
            </w:r>
            <w:hyperlink r:id="rId64" w:history="1">
              <w:r w:rsidRPr="00D36ED1">
                <w:rPr>
                  <w:rStyle w:val="Hipervnculo"/>
                  <w:rFonts w:ascii="Times New Roman" w:eastAsia="Times New Roman" w:hAnsi="Times New Roman" w:cs="Times New Roman"/>
                  <w:sz w:val="20"/>
                  <w:szCs w:val="20"/>
                  <w:lang w:eastAsia="es-ES"/>
                </w:rPr>
                <w:t>Resolución DGT de 18/09/2024</w:t>
              </w:r>
            </w:hyperlink>
            <w:r w:rsidRPr="00D36ED1">
              <w:rPr>
                <w:rFonts w:ascii="Times New Roman" w:eastAsia="Times New Roman" w:hAnsi="Times New Roman" w:cs="Times New Roman"/>
                <w:color w:val="000000"/>
                <w:sz w:val="20"/>
                <w:szCs w:val="20"/>
                <w:lang w:eastAsia="es-ES"/>
              </w:rPr>
              <w:t xml:space="preserve"> excluye del ámbito de aplicación del valor de referencia “</w:t>
            </w:r>
            <w:r w:rsidRPr="00D36ED1">
              <w:rPr>
                <w:rFonts w:ascii="Times New Roman" w:eastAsia="Times New Roman" w:hAnsi="Times New Roman" w:cs="Times New Roman"/>
                <w:i/>
                <w:iCs/>
                <w:color w:val="000000"/>
                <w:sz w:val="20"/>
                <w:szCs w:val="20"/>
                <w:lang w:eastAsia="es-ES"/>
              </w:rPr>
              <w:t>... los bienes inmuebles de uso residencial, en los que no exista régimen legal que regule la relación entre propietario y ocupante, y esto impida la libre disposición del inmueble por parte del propietario...</w:t>
            </w:r>
            <w:r w:rsidRPr="00D36ED1">
              <w:rPr>
                <w:rFonts w:ascii="Times New Roman" w:eastAsia="Times New Roman" w:hAnsi="Times New Roman" w:cs="Times New Roman"/>
                <w:color w:val="000000"/>
                <w:sz w:val="20"/>
                <w:szCs w:val="20"/>
                <w:lang w:eastAsia="es-ES"/>
              </w:rPr>
              <w:t xml:space="preserve">”, en consonancia con la </w:t>
            </w:r>
            <w:hyperlink r:id="rId65" w:history="1">
              <w:r w:rsidRPr="00D36ED1">
                <w:rPr>
                  <w:rStyle w:val="Hipervnculo"/>
                  <w:rFonts w:ascii="Times New Roman" w:eastAsia="Times New Roman" w:hAnsi="Times New Roman" w:cs="Times New Roman"/>
                  <w:sz w:val="20"/>
                  <w:szCs w:val="20"/>
                  <w:lang w:eastAsia="es-ES"/>
                </w:rPr>
                <w:t>Resolución de la DG del Catastro que cada año publica su sede electrónica</w:t>
              </w:r>
            </w:hyperlink>
            <w:r w:rsidR="00732848">
              <w:rPr>
                <w:sz w:val="20"/>
                <w:szCs w:val="20"/>
              </w:rPr>
              <w:t>.</w:t>
            </w:r>
          </w:p>
        </w:tc>
      </w:tr>
      <w:tr w:rsidR="009511D0" w:rsidRPr="000E48AA" w14:paraId="328F18FD" w14:textId="77777777" w:rsidTr="002A37C0">
        <w:trPr>
          <w:trHeight w:val="256"/>
          <w:jc w:val="center"/>
        </w:trPr>
        <w:tc>
          <w:tcPr>
            <w:tcW w:w="1798"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26C8815F" w14:textId="77777777" w:rsidR="009511D0" w:rsidRDefault="009511D0" w:rsidP="000E2F0C">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Concurso</w:t>
            </w:r>
          </w:p>
        </w:tc>
        <w:tc>
          <w:tcPr>
            <w:tcW w:w="6660"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7517F140" w14:textId="04E7EBB8" w:rsidR="009511D0" w:rsidRPr="00C21085" w:rsidRDefault="001D6A17" w:rsidP="009D22DD">
            <w:pPr>
              <w:spacing w:before="60" w:after="60" w:line="180" w:lineRule="exact"/>
              <w:jc w:val="both"/>
              <w:rPr>
                <w:rFonts w:ascii="Times New Roman" w:eastAsia="Times New Roman" w:hAnsi="Times New Roman" w:cs="Times New Roman"/>
                <w:lang w:eastAsia="es-ES"/>
              </w:rPr>
            </w:pPr>
            <w:r w:rsidRPr="001D6A17">
              <w:rPr>
                <w:rFonts w:ascii="Times New Roman" w:eastAsia="Times New Roman" w:hAnsi="Times New Roman" w:cs="Times New Roman"/>
                <w:sz w:val="20"/>
                <w:szCs w:val="20"/>
                <w:lang w:eastAsia="es-ES"/>
              </w:rPr>
              <w:t>E</w:t>
            </w:r>
            <w:r w:rsidR="00F1642A" w:rsidRPr="001D6A17">
              <w:rPr>
                <w:rFonts w:ascii="Times New Roman" w:eastAsia="Times New Roman" w:hAnsi="Times New Roman" w:cs="Times New Roman"/>
                <w:sz w:val="20"/>
                <w:szCs w:val="20"/>
                <w:lang w:eastAsia="es-ES"/>
              </w:rPr>
              <w:t xml:space="preserve">l </w:t>
            </w:r>
            <w:hyperlink r:id="rId66" w:anchor="a46" w:history="1">
              <w:r w:rsidR="00F1642A" w:rsidRPr="001D6A17">
                <w:rPr>
                  <w:rStyle w:val="Hipervnculo"/>
                  <w:rFonts w:ascii="Times New Roman" w:eastAsia="Times New Roman" w:hAnsi="Times New Roman" w:cs="Times New Roman"/>
                  <w:sz w:val="20"/>
                  <w:szCs w:val="20"/>
                  <w:lang w:eastAsia="es-ES"/>
                </w:rPr>
                <w:t>art. 46-5 del Texto Refundido</w:t>
              </w:r>
            </w:hyperlink>
            <w:r>
              <w:rPr>
                <w:rFonts w:ascii="Times New Roman" w:eastAsia="Times New Roman" w:hAnsi="Times New Roman" w:cs="Times New Roman"/>
                <w:sz w:val="20"/>
                <w:szCs w:val="20"/>
                <w:lang w:eastAsia="es-ES"/>
              </w:rPr>
              <w:t xml:space="preserve">, </w:t>
            </w:r>
            <w:r w:rsidRPr="001D6A17">
              <w:rPr>
                <w:rFonts w:ascii="Times New Roman" w:eastAsia="Times New Roman" w:hAnsi="Times New Roman" w:cs="Times New Roman"/>
                <w:sz w:val="20"/>
                <w:szCs w:val="20"/>
                <w:lang w:eastAsia="es-ES"/>
              </w:rPr>
              <w:t>en cuanto ha sido reformado por la misma</w:t>
            </w:r>
            <w:r w:rsidR="00F16F83" w:rsidRPr="001D6A17">
              <w:rPr>
                <w:rFonts w:ascii="Times New Roman" w:eastAsia="Times New Roman" w:hAnsi="Times New Roman" w:cs="Times New Roman"/>
                <w:sz w:val="20"/>
                <w:szCs w:val="20"/>
                <w:lang w:eastAsia="es-ES"/>
              </w:rPr>
              <w:t xml:space="preserve"> Ley 11/2021</w:t>
            </w:r>
            <w:r w:rsidRPr="001D6A17">
              <w:rPr>
                <w:rFonts w:ascii="Times New Roman" w:eastAsia="Times New Roman" w:hAnsi="Times New Roman" w:cs="Times New Roman"/>
                <w:sz w:val="20"/>
                <w:szCs w:val="20"/>
                <w:lang w:eastAsia="es-ES"/>
              </w:rPr>
              <w:t xml:space="preserve">, </w:t>
            </w:r>
            <w:r w:rsidR="00F1642A" w:rsidRPr="001D6A17">
              <w:rPr>
                <w:rFonts w:ascii="Times New Roman" w:eastAsia="Times New Roman" w:hAnsi="Times New Roman" w:cs="Times New Roman"/>
                <w:sz w:val="20"/>
                <w:szCs w:val="20"/>
                <w:lang w:eastAsia="es-ES"/>
              </w:rPr>
              <w:t xml:space="preserve">no </w:t>
            </w:r>
            <w:r w:rsidR="002E3290">
              <w:rPr>
                <w:rFonts w:ascii="Times New Roman" w:eastAsia="Times New Roman" w:hAnsi="Times New Roman" w:cs="Times New Roman"/>
                <w:sz w:val="20"/>
                <w:szCs w:val="20"/>
                <w:lang w:eastAsia="es-ES"/>
              </w:rPr>
              <w:t xml:space="preserve">debería </w:t>
            </w:r>
            <w:r w:rsidR="00F1642A" w:rsidRPr="001D6A17">
              <w:rPr>
                <w:rFonts w:ascii="Times New Roman" w:eastAsia="Times New Roman" w:hAnsi="Times New Roman" w:cs="Times New Roman"/>
                <w:sz w:val="20"/>
                <w:szCs w:val="20"/>
                <w:lang w:eastAsia="es-ES"/>
              </w:rPr>
              <w:t>queda</w:t>
            </w:r>
            <w:r w:rsidR="002E3290">
              <w:rPr>
                <w:rFonts w:ascii="Times New Roman" w:eastAsia="Times New Roman" w:hAnsi="Times New Roman" w:cs="Times New Roman"/>
                <w:sz w:val="20"/>
                <w:szCs w:val="20"/>
                <w:lang w:eastAsia="es-ES"/>
              </w:rPr>
              <w:t>r</w:t>
            </w:r>
            <w:r w:rsidR="00F1642A" w:rsidRPr="001D6A17">
              <w:rPr>
                <w:rFonts w:ascii="Times New Roman" w:eastAsia="Times New Roman" w:hAnsi="Times New Roman" w:cs="Times New Roman"/>
                <w:sz w:val="20"/>
                <w:szCs w:val="20"/>
                <w:lang w:eastAsia="es-ES"/>
              </w:rPr>
              <w:t xml:space="preserve"> afectado por el valor de referencia:</w:t>
            </w:r>
            <w:r w:rsidR="00F1642A">
              <w:rPr>
                <w:rFonts w:ascii="Times New Roman" w:eastAsia="Times New Roman" w:hAnsi="Times New Roman" w:cs="Times New Roman"/>
                <w:lang w:eastAsia="es-ES"/>
              </w:rPr>
              <w:t xml:space="preserve"> </w:t>
            </w:r>
            <w:r w:rsidR="000768C0" w:rsidRPr="00D356B1">
              <w:rPr>
                <w:rFonts w:ascii="Times New Roman" w:eastAsia="Times New Roman" w:hAnsi="Times New Roman" w:cs="Times New Roman"/>
                <w:sz w:val="20"/>
                <w:szCs w:val="20"/>
                <w:lang w:eastAsia="es-ES"/>
              </w:rPr>
              <w:t>“</w:t>
            </w:r>
            <w:r w:rsidR="000768C0" w:rsidRPr="00D356B1">
              <w:rPr>
                <w:rFonts w:ascii="Times New Roman" w:eastAsia="Times New Roman" w:hAnsi="Times New Roman" w:cs="Times New Roman"/>
                <w:i/>
                <w:sz w:val="20"/>
                <w:szCs w:val="20"/>
                <w:lang w:eastAsia="es-ES"/>
              </w:rPr>
              <w:t xml:space="preserve">... </w:t>
            </w:r>
            <w:r w:rsidR="000768C0" w:rsidRPr="00D356B1">
              <w:rPr>
                <w:rFonts w:ascii="Times New Roman" w:hAnsi="Times New Roman" w:cs="Times New Roman"/>
                <w:i/>
                <w:sz w:val="20"/>
                <w:szCs w:val="20"/>
              </w:rPr>
              <w:t>Se considerará que el valor fijado en las resoluciones del juez del concurso para los bienes y derechos transmitidos corresponde a su valor, no procediendo en consecuencia comprobación de valores, en las transmisiones de bienes y derechos que se produzcan en un procedimiento concursal, incluyendo las cesiones de créditos previstas en el convenio aprobado judicialmente y las enajenaciones de activos llevadas a cabo en la fase de liquidación...</w:t>
            </w:r>
            <w:r w:rsidR="000768C0" w:rsidRPr="00D356B1">
              <w:rPr>
                <w:rFonts w:ascii="Times New Roman" w:hAnsi="Times New Roman" w:cs="Times New Roman"/>
                <w:sz w:val="20"/>
                <w:szCs w:val="20"/>
              </w:rPr>
              <w:t>”</w:t>
            </w:r>
            <w:r w:rsidR="009D22DD">
              <w:rPr>
                <w:rFonts w:ascii="Times New Roman" w:hAnsi="Times New Roman" w:cs="Times New Roman"/>
                <w:sz w:val="20"/>
                <w:szCs w:val="20"/>
              </w:rPr>
              <w:t>.</w:t>
            </w:r>
          </w:p>
        </w:tc>
      </w:tr>
      <w:tr w:rsidR="00525B6A" w:rsidRPr="000E48AA" w14:paraId="4B1585C1" w14:textId="77777777" w:rsidTr="002A37C0">
        <w:trPr>
          <w:trHeight w:val="256"/>
          <w:jc w:val="center"/>
        </w:trPr>
        <w:tc>
          <w:tcPr>
            <w:tcW w:w="1798" w:type="dxa"/>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36BE7BC0" w14:textId="77777777" w:rsidR="00525B6A" w:rsidRDefault="00525B6A" w:rsidP="000E2F0C">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Cesión derecho hereditario</w:t>
            </w:r>
          </w:p>
          <w:p w14:paraId="449E466C" w14:textId="77777777" w:rsidR="00ED7148" w:rsidRPr="00ED7148" w:rsidRDefault="00ED7148" w:rsidP="000E2F0C">
            <w:pPr>
              <w:spacing w:before="60" w:after="60" w:line="200" w:lineRule="exact"/>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[y del derecho</w:t>
            </w:r>
            <w:r w:rsidRPr="00ED7148">
              <w:rPr>
                <w:rFonts w:ascii="Times New Roman" w:eastAsia="Times New Roman" w:hAnsi="Times New Roman" w:cs="Times New Roman"/>
                <w:b/>
                <w:sz w:val="20"/>
                <w:szCs w:val="20"/>
                <w:lang w:eastAsia="es-ES"/>
              </w:rPr>
              <w:t xml:space="preserve"> postganancial]</w:t>
            </w:r>
          </w:p>
        </w:tc>
        <w:tc>
          <w:tcPr>
            <w:tcW w:w="6660" w:type="dxa"/>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070076A1" w14:textId="30BE95A9" w:rsidR="00525B6A" w:rsidRPr="001964D4" w:rsidRDefault="00525B6A" w:rsidP="009D1F7D">
            <w:pPr>
              <w:spacing w:before="60" w:after="0" w:line="180" w:lineRule="exact"/>
              <w:jc w:val="both"/>
              <w:rPr>
                <w:rFonts w:ascii="Times New Roman" w:eastAsia="Times New Roman" w:hAnsi="Times New Roman" w:cs="Times New Roman"/>
                <w:sz w:val="20"/>
                <w:szCs w:val="20"/>
                <w:lang w:eastAsia="es-ES"/>
              </w:rPr>
            </w:pPr>
            <w:r w:rsidRPr="001964D4">
              <w:rPr>
                <w:rFonts w:ascii="Times New Roman" w:eastAsia="Times New Roman" w:hAnsi="Times New Roman" w:cs="Times New Roman"/>
                <w:sz w:val="20"/>
                <w:szCs w:val="20"/>
                <w:lang w:eastAsia="es-ES"/>
              </w:rPr>
              <w:t xml:space="preserve">Se traslada el problema de la valoración del derecho hereditario </w:t>
            </w:r>
            <w:r w:rsidR="009C3DB9" w:rsidRPr="009C3DB9">
              <w:rPr>
                <w:rFonts w:ascii="Times New Roman" w:hAnsi="Times New Roman" w:cs="Times New Roman"/>
                <w:spacing w:val="6"/>
                <w:sz w:val="20"/>
                <w:szCs w:val="20"/>
                <w:lang w:val="es-ES_tradnl"/>
              </w:rPr>
              <w:t>«</w:t>
            </w:r>
            <w:r w:rsidRPr="001964D4">
              <w:rPr>
                <w:rFonts w:ascii="Times New Roman" w:eastAsia="Times New Roman" w:hAnsi="Times New Roman" w:cs="Times New Roman"/>
                <w:sz w:val="20"/>
                <w:szCs w:val="20"/>
                <w:lang w:eastAsia="es-ES"/>
              </w:rPr>
              <w:t>in abstracto</w:t>
            </w:r>
            <w:r w:rsidR="00ED7148" w:rsidRPr="00ED7148">
              <w:rPr>
                <w:rFonts w:ascii="Times New Roman" w:eastAsia="Times New Roman" w:hAnsi="Times New Roman" w:cs="Times New Roman"/>
                <w:sz w:val="20"/>
                <w:szCs w:val="20"/>
                <w:lang w:val="es-ES_tradnl" w:eastAsia="es-ES"/>
              </w:rPr>
              <w:t>»</w:t>
            </w:r>
            <w:r w:rsidRPr="001964D4">
              <w:rPr>
                <w:rFonts w:ascii="Times New Roman" w:eastAsia="Times New Roman" w:hAnsi="Times New Roman" w:cs="Times New Roman"/>
                <w:sz w:val="20"/>
                <w:szCs w:val="20"/>
                <w:lang w:eastAsia="es-ES"/>
              </w:rPr>
              <w:t>, sobre todo cuando el único bien de la herencia es u</w:t>
            </w:r>
            <w:r w:rsidR="006E4FF8">
              <w:rPr>
                <w:rFonts w:ascii="Times New Roman" w:eastAsia="Times New Roman" w:hAnsi="Times New Roman" w:cs="Times New Roman"/>
                <w:sz w:val="20"/>
                <w:szCs w:val="20"/>
                <w:lang w:eastAsia="es-ES"/>
              </w:rPr>
              <w:t>n inmueble, discutiéndose si es aplicable o no el valor de referencia:</w:t>
            </w:r>
          </w:p>
          <w:p w14:paraId="37D3A65A" w14:textId="77777777" w:rsidR="00525B6A" w:rsidRDefault="00525B6A" w:rsidP="009D1F7D">
            <w:pPr>
              <w:spacing w:after="0" w:line="180" w:lineRule="exact"/>
              <w:jc w:val="both"/>
              <w:rPr>
                <w:rFonts w:ascii="Times New Roman" w:hAnsi="Times New Roman" w:cs="Times New Roman"/>
                <w:sz w:val="20"/>
                <w:szCs w:val="20"/>
              </w:rPr>
            </w:pPr>
            <w:r w:rsidRPr="001964D4">
              <w:rPr>
                <w:rFonts w:ascii="Times New Roman" w:eastAsia="Times New Roman" w:hAnsi="Times New Roman" w:cs="Times New Roman"/>
                <w:sz w:val="20"/>
                <w:szCs w:val="20"/>
                <w:lang w:eastAsia="es-ES"/>
              </w:rPr>
              <w:t>- A favor</w:t>
            </w:r>
            <w:r w:rsidR="006E4FF8">
              <w:rPr>
                <w:rFonts w:ascii="Times New Roman" w:eastAsia="Times New Roman" w:hAnsi="Times New Roman" w:cs="Times New Roman"/>
                <w:sz w:val="20"/>
                <w:szCs w:val="20"/>
                <w:lang w:eastAsia="es-ES"/>
              </w:rPr>
              <w:t>,</w:t>
            </w:r>
            <w:r w:rsidRPr="001964D4">
              <w:rPr>
                <w:rFonts w:ascii="Times New Roman" w:eastAsia="Times New Roman" w:hAnsi="Times New Roman" w:cs="Times New Roman"/>
                <w:sz w:val="20"/>
                <w:szCs w:val="20"/>
                <w:lang w:eastAsia="es-ES"/>
              </w:rPr>
              <w:t xml:space="preserve"> puede citarse el </w:t>
            </w:r>
            <w:hyperlink r:id="rId67" w:anchor="a17" w:history="1">
              <w:r w:rsidR="001964D4" w:rsidRPr="00527C36">
                <w:rPr>
                  <w:rStyle w:val="Hipervnculo"/>
                  <w:rFonts w:ascii="Times New Roman" w:eastAsia="Times New Roman" w:hAnsi="Times New Roman" w:cs="Times New Roman"/>
                  <w:sz w:val="20"/>
                  <w:szCs w:val="20"/>
                  <w:lang w:eastAsia="es-ES"/>
                </w:rPr>
                <w:t>art. 17</w:t>
              </w:r>
              <w:r w:rsidR="00527C36" w:rsidRPr="00527C36">
                <w:rPr>
                  <w:rStyle w:val="Hipervnculo"/>
                  <w:rFonts w:ascii="Times New Roman" w:eastAsia="Times New Roman" w:hAnsi="Times New Roman" w:cs="Times New Roman"/>
                  <w:sz w:val="20"/>
                  <w:szCs w:val="20"/>
                  <w:lang w:eastAsia="es-ES"/>
                </w:rPr>
                <w:t>-1 del TRITPAJD</w:t>
              </w:r>
            </w:hyperlink>
            <w:r w:rsidR="00527C36">
              <w:rPr>
                <w:rFonts w:ascii="Times New Roman" w:eastAsia="Times New Roman" w:hAnsi="Times New Roman" w:cs="Times New Roman"/>
                <w:sz w:val="20"/>
                <w:szCs w:val="20"/>
                <w:lang w:eastAsia="es-ES"/>
              </w:rPr>
              <w:t xml:space="preserve">, según el </w:t>
            </w:r>
            <w:r w:rsidR="00527C36" w:rsidRPr="00527C36">
              <w:rPr>
                <w:rFonts w:ascii="Times New Roman" w:eastAsia="Times New Roman" w:hAnsi="Times New Roman" w:cs="Times New Roman"/>
                <w:sz w:val="20"/>
                <w:szCs w:val="20"/>
                <w:lang w:eastAsia="es-ES"/>
              </w:rPr>
              <w:t>cual, “</w:t>
            </w:r>
            <w:r w:rsidR="00527C36" w:rsidRPr="00527C36">
              <w:rPr>
                <w:rFonts w:ascii="Times New Roman" w:eastAsia="Times New Roman" w:hAnsi="Times New Roman" w:cs="Times New Roman"/>
                <w:i/>
                <w:sz w:val="20"/>
                <w:szCs w:val="20"/>
                <w:lang w:eastAsia="es-ES"/>
              </w:rPr>
              <w:t xml:space="preserve">... </w:t>
            </w:r>
            <w:r w:rsidR="00527C36" w:rsidRPr="00527C36">
              <w:rPr>
                <w:rFonts w:ascii="Times New Roman" w:hAnsi="Times New Roman" w:cs="Times New Roman"/>
                <w:i/>
                <w:sz w:val="20"/>
                <w:szCs w:val="20"/>
              </w:rPr>
              <w:t>En la transmisión de créditos o derechos mediante cuyo ejercicio hayan de obtenerse bienes determinados y de posible estimación se exigirá el impuesto por iguales conceptos y tipos que las que se efectúen de los mismos bienes y derechos...</w:t>
            </w:r>
            <w:r w:rsidR="00527C36" w:rsidRPr="00527C36">
              <w:rPr>
                <w:rFonts w:ascii="Times New Roman" w:hAnsi="Times New Roman" w:cs="Times New Roman"/>
                <w:sz w:val="20"/>
                <w:szCs w:val="20"/>
              </w:rPr>
              <w:t>”.</w:t>
            </w:r>
          </w:p>
          <w:p w14:paraId="4DA19673" w14:textId="77777777" w:rsidR="00527C36" w:rsidRPr="001D6A17" w:rsidRDefault="00527C36" w:rsidP="009D1F7D">
            <w:pPr>
              <w:spacing w:after="60" w:line="180" w:lineRule="exact"/>
              <w:jc w:val="both"/>
              <w:rPr>
                <w:rFonts w:ascii="Times New Roman" w:eastAsia="Times New Roman" w:hAnsi="Times New Roman" w:cs="Times New Roman"/>
                <w:sz w:val="20"/>
                <w:szCs w:val="20"/>
                <w:lang w:eastAsia="es-ES"/>
              </w:rPr>
            </w:pPr>
            <w:r>
              <w:rPr>
                <w:rFonts w:ascii="Times New Roman" w:hAnsi="Times New Roman" w:cs="Times New Roman"/>
                <w:sz w:val="20"/>
                <w:szCs w:val="20"/>
              </w:rPr>
              <w:t>- En contra</w:t>
            </w:r>
            <w:r w:rsidR="006E4FF8">
              <w:rPr>
                <w:rFonts w:ascii="Times New Roman" w:hAnsi="Times New Roman" w:cs="Times New Roman"/>
                <w:sz w:val="20"/>
                <w:szCs w:val="20"/>
              </w:rPr>
              <w:t>,</w:t>
            </w:r>
            <w:r w:rsidR="009C3DB9">
              <w:rPr>
                <w:rFonts w:ascii="Times New Roman" w:hAnsi="Times New Roman" w:cs="Times New Roman"/>
                <w:sz w:val="20"/>
                <w:szCs w:val="20"/>
              </w:rPr>
              <w:t xml:space="preserve"> cabe oponer que</w:t>
            </w:r>
            <w:r w:rsidR="00AC4CF7">
              <w:rPr>
                <w:rFonts w:ascii="Times New Roman" w:hAnsi="Times New Roman" w:cs="Times New Roman"/>
                <w:sz w:val="20"/>
                <w:szCs w:val="20"/>
              </w:rPr>
              <w:t xml:space="preserve"> el derecho hereditario no garantiza</w:t>
            </w:r>
            <w:r w:rsidR="0074702A">
              <w:rPr>
                <w:rFonts w:ascii="Times New Roman" w:hAnsi="Times New Roman" w:cs="Times New Roman"/>
                <w:sz w:val="20"/>
                <w:szCs w:val="20"/>
              </w:rPr>
              <w:t xml:space="preserve"> que</w:t>
            </w:r>
            <w:r w:rsidR="00AC4CF7">
              <w:rPr>
                <w:rFonts w:ascii="Times New Roman" w:hAnsi="Times New Roman" w:cs="Times New Roman"/>
                <w:sz w:val="20"/>
                <w:szCs w:val="20"/>
              </w:rPr>
              <w:t xml:space="preserve"> “</w:t>
            </w:r>
            <w:r w:rsidR="0074702A">
              <w:rPr>
                <w:rFonts w:ascii="Times New Roman" w:hAnsi="Times New Roman" w:cs="Times New Roman"/>
                <w:sz w:val="20"/>
                <w:szCs w:val="20"/>
              </w:rPr>
              <w:t xml:space="preserve">hayan de obtenerse </w:t>
            </w:r>
            <w:r w:rsidR="00AC4CF7">
              <w:rPr>
                <w:rFonts w:ascii="Times New Roman" w:hAnsi="Times New Roman" w:cs="Times New Roman"/>
                <w:sz w:val="20"/>
                <w:szCs w:val="20"/>
              </w:rPr>
              <w:t>bienes determinados”; que</w:t>
            </w:r>
            <w:r w:rsidR="009C3DB9">
              <w:rPr>
                <w:rFonts w:ascii="Times New Roman" w:hAnsi="Times New Roman" w:cs="Times New Roman"/>
                <w:sz w:val="20"/>
                <w:szCs w:val="20"/>
              </w:rPr>
              <w:t xml:space="preserve"> el precepto habla de “conceptos y tipos”, no de “base imponible”;</w:t>
            </w:r>
            <w:r w:rsidR="006E4FF8">
              <w:rPr>
                <w:rFonts w:ascii="Times New Roman" w:hAnsi="Times New Roman" w:cs="Times New Roman"/>
                <w:sz w:val="20"/>
                <w:szCs w:val="20"/>
              </w:rPr>
              <w:t xml:space="preserve"> y que</w:t>
            </w:r>
            <w:r w:rsidR="0074702A">
              <w:rPr>
                <w:rFonts w:ascii="Times New Roman" w:hAnsi="Times New Roman" w:cs="Times New Roman"/>
                <w:sz w:val="20"/>
                <w:szCs w:val="20"/>
              </w:rPr>
              <w:t xml:space="preserve"> por definición</w:t>
            </w:r>
            <w:r w:rsidR="006E4FF8">
              <w:rPr>
                <w:rFonts w:ascii="Times New Roman" w:hAnsi="Times New Roman" w:cs="Times New Roman"/>
                <w:sz w:val="20"/>
                <w:szCs w:val="20"/>
              </w:rPr>
              <w:t xml:space="preserve"> el pre</w:t>
            </w:r>
            <w:r w:rsidR="00AC4CF7">
              <w:rPr>
                <w:rFonts w:ascii="Times New Roman" w:hAnsi="Times New Roman" w:cs="Times New Roman"/>
                <w:sz w:val="20"/>
                <w:szCs w:val="20"/>
              </w:rPr>
              <w:t>cio de la cesión</w:t>
            </w:r>
            <w:r w:rsidR="0074702A">
              <w:rPr>
                <w:rFonts w:ascii="Times New Roman" w:hAnsi="Times New Roman" w:cs="Times New Roman"/>
                <w:sz w:val="20"/>
                <w:szCs w:val="20"/>
              </w:rPr>
              <w:t xml:space="preserve"> </w:t>
            </w:r>
            <w:r w:rsidR="00AC4CF7">
              <w:rPr>
                <w:rFonts w:ascii="Times New Roman" w:hAnsi="Times New Roman" w:cs="Times New Roman"/>
                <w:sz w:val="20"/>
                <w:szCs w:val="20"/>
              </w:rPr>
              <w:t>“descuenta” el anticipo en el pago y las dificultades propias de todo proceso hereditario.</w:t>
            </w:r>
          </w:p>
        </w:tc>
      </w:tr>
      <w:tr w:rsidR="00053603" w:rsidRPr="000E48AA" w14:paraId="02FEE336" w14:textId="77777777" w:rsidTr="00732848">
        <w:trPr>
          <w:trHeight w:val="837"/>
          <w:jc w:val="center"/>
        </w:trPr>
        <w:tc>
          <w:tcPr>
            <w:tcW w:w="1798"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11882149" w14:textId="77777777" w:rsidR="00053603" w:rsidRDefault="00053603" w:rsidP="00053603">
            <w:pPr>
              <w:spacing w:before="60" w:after="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Inversiones exteriores</w:t>
            </w:r>
          </w:p>
          <w:p w14:paraId="069F09C2" w14:textId="4C3B9205" w:rsidR="00053603" w:rsidRPr="00053603" w:rsidRDefault="00053603" w:rsidP="00053603">
            <w:pPr>
              <w:spacing w:after="60" w:line="200" w:lineRule="exact"/>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4"/>
                <w:szCs w:val="24"/>
                <w:lang w:eastAsia="es-ES"/>
              </w:rPr>
              <w:t xml:space="preserve"> </w:t>
            </w:r>
            <w:r w:rsidRPr="00053603">
              <w:rPr>
                <w:rFonts w:ascii="Times New Roman" w:eastAsia="Times New Roman" w:hAnsi="Times New Roman" w:cs="Times New Roman"/>
                <w:b/>
                <w:sz w:val="20"/>
                <w:szCs w:val="20"/>
                <w:lang w:eastAsia="es-ES"/>
              </w:rPr>
              <w:t>en inmuebles de más de 500.000 €</w:t>
            </w:r>
          </w:p>
        </w:tc>
        <w:tc>
          <w:tcPr>
            <w:tcW w:w="6660"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1E461E23" w14:textId="2422E586" w:rsidR="00053603" w:rsidRPr="00732848" w:rsidRDefault="00DC7E61" w:rsidP="00732848">
            <w:pPr>
              <w:spacing w:before="40" w:after="40" w:line="180" w:lineRule="exact"/>
              <w:jc w:val="both"/>
              <w:rPr>
                <w:rFonts w:ascii="Times New Roman" w:eastAsia="Times New Roman" w:hAnsi="Times New Roman" w:cs="Times New Roman"/>
                <w:bCs/>
                <w:sz w:val="18"/>
                <w:szCs w:val="18"/>
                <w:lang w:val="es-ES_tradnl" w:eastAsia="es-ES"/>
              </w:rPr>
            </w:pPr>
            <w:r w:rsidRPr="00732848">
              <w:rPr>
                <w:rFonts w:ascii="Times New Roman" w:eastAsia="Times New Roman" w:hAnsi="Times New Roman" w:cs="Times New Roman"/>
                <w:bCs/>
                <w:sz w:val="18"/>
                <w:szCs w:val="18"/>
                <w:lang w:val="es-ES_tradnl" w:eastAsia="es-ES"/>
              </w:rPr>
              <w:t xml:space="preserve">Según contestación de la Jefa de Sección de la Subdirección general de Inversiones Exteriores, </w:t>
            </w:r>
            <w:r w:rsidR="00D356B1" w:rsidRPr="00732848">
              <w:rPr>
                <w:rFonts w:ascii="Times New Roman" w:eastAsia="Times New Roman" w:hAnsi="Times New Roman" w:cs="Times New Roman"/>
                <w:bCs/>
                <w:sz w:val="18"/>
                <w:szCs w:val="18"/>
                <w:lang w:val="es-ES_tradnl" w:eastAsia="es-ES"/>
              </w:rPr>
              <w:t>en relación a la obligación de declaración posterior en las inversiones de no residentes en inmuebles por importe superior a 500.000 € (</w:t>
            </w:r>
            <w:hyperlink r:id="rId68" w:history="1">
              <w:r w:rsidR="00D356B1" w:rsidRPr="00732848">
                <w:rPr>
                  <w:rFonts w:ascii="CG Times (W1)" w:eastAsia="Times New Roman" w:hAnsi="CG Times (W1)" w:cs="Times New Roman"/>
                  <w:bCs/>
                  <w:color w:val="0000FF"/>
                  <w:spacing w:val="6"/>
                  <w:sz w:val="18"/>
                  <w:szCs w:val="18"/>
                  <w:u w:val="single"/>
                  <w:lang w:val="es-ES_tradnl" w:eastAsia="es-ES"/>
                </w:rPr>
                <w:t>art. 4-h del Decreto 571/2023</w:t>
              </w:r>
            </w:hyperlink>
            <w:r w:rsidR="00D356B1" w:rsidRPr="00732848">
              <w:rPr>
                <w:rFonts w:ascii="CG Times (W1)" w:eastAsia="Times New Roman" w:hAnsi="CG Times (W1)" w:cs="Times New Roman"/>
                <w:bCs/>
                <w:spacing w:val="6"/>
                <w:sz w:val="18"/>
                <w:szCs w:val="18"/>
                <w:lang w:val="es-ES_tradnl" w:eastAsia="es-ES"/>
              </w:rPr>
              <w:t>)</w:t>
            </w:r>
            <w:r w:rsidR="00D356B1" w:rsidRPr="00732848">
              <w:rPr>
                <w:rFonts w:ascii="Times New Roman" w:eastAsia="Times New Roman" w:hAnsi="Times New Roman" w:cs="Times New Roman"/>
                <w:bCs/>
                <w:sz w:val="18"/>
                <w:szCs w:val="18"/>
                <w:lang w:val="es-ES_tradnl" w:eastAsia="es-ES"/>
              </w:rPr>
              <w:t xml:space="preserve">, </w:t>
            </w:r>
            <w:r w:rsidRPr="00732848">
              <w:rPr>
                <w:rFonts w:ascii="Times New Roman" w:eastAsia="Times New Roman" w:hAnsi="Times New Roman" w:cs="Times New Roman"/>
                <w:bCs/>
                <w:sz w:val="18"/>
                <w:szCs w:val="18"/>
                <w:lang w:val="es-ES_tradnl" w:eastAsia="es-ES"/>
              </w:rPr>
              <w:t>se atiende al valor fiscal de referencia</w:t>
            </w:r>
            <w:r w:rsidR="00D356B1" w:rsidRPr="00732848">
              <w:rPr>
                <w:rFonts w:ascii="Times New Roman" w:eastAsia="Times New Roman" w:hAnsi="Times New Roman" w:cs="Times New Roman"/>
                <w:bCs/>
                <w:sz w:val="18"/>
                <w:szCs w:val="18"/>
                <w:lang w:val="es-ES_tradnl" w:eastAsia="es-ES"/>
              </w:rPr>
              <w:t xml:space="preserve"> </w:t>
            </w:r>
            <w:r w:rsidRPr="00732848">
              <w:rPr>
                <w:rFonts w:ascii="Times New Roman" w:eastAsia="Times New Roman" w:hAnsi="Times New Roman" w:cs="Times New Roman"/>
                <w:bCs/>
                <w:sz w:val="18"/>
                <w:szCs w:val="18"/>
                <w:lang w:val="es-ES_tradnl" w:eastAsia="es-ES"/>
              </w:rPr>
              <w:t>cuando éste sea superior al declarado</w:t>
            </w:r>
            <w:r w:rsidR="009D22DD" w:rsidRPr="00732848">
              <w:rPr>
                <w:rFonts w:ascii="Times New Roman" w:eastAsia="Times New Roman" w:hAnsi="Times New Roman" w:cs="Times New Roman"/>
                <w:bCs/>
                <w:sz w:val="18"/>
                <w:szCs w:val="18"/>
                <w:lang w:val="es-ES_tradnl" w:eastAsia="es-ES"/>
              </w:rPr>
              <w:t>.</w:t>
            </w:r>
          </w:p>
        </w:tc>
      </w:tr>
      <w:tr w:rsidR="008C71F9" w:rsidRPr="000E48AA" w14:paraId="3A8FF5C7" w14:textId="77777777" w:rsidTr="002A37C0">
        <w:trPr>
          <w:trHeight w:val="256"/>
          <w:jc w:val="center"/>
        </w:trPr>
        <w:tc>
          <w:tcPr>
            <w:tcW w:w="1798" w:type="dxa"/>
            <w:tcBorders>
              <w:top w:val="single" w:sz="12" w:space="0" w:color="auto"/>
              <w:left w:val="single" w:sz="18" w:space="0" w:color="auto"/>
              <w:bottom w:val="single" w:sz="18" w:space="0" w:color="auto"/>
              <w:right w:val="single" w:sz="18" w:space="0" w:color="auto"/>
            </w:tcBorders>
            <w:shd w:val="clear" w:color="auto" w:fill="FFFFFF" w:themeFill="background1"/>
            <w:vAlign w:val="center"/>
          </w:tcPr>
          <w:p w14:paraId="083F3DE9" w14:textId="32ABBE67" w:rsidR="008C71F9" w:rsidRDefault="008C71F9" w:rsidP="00053603">
            <w:pPr>
              <w:spacing w:before="60" w:after="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Declaraciones de obra</w:t>
            </w:r>
          </w:p>
        </w:tc>
        <w:tc>
          <w:tcPr>
            <w:tcW w:w="6660" w:type="dxa"/>
            <w:tcBorders>
              <w:top w:val="single" w:sz="12" w:space="0" w:color="auto"/>
              <w:left w:val="single" w:sz="18" w:space="0" w:color="auto"/>
              <w:bottom w:val="single" w:sz="18" w:space="0" w:color="auto"/>
              <w:right w:val="single" w:sz="18" w:space="0" w:color="auto"/>
            </w:tcBorders>
            <w:shd w:val="clear" w:color="auto" w:fill="FFFFFF" w:themeFill="background1"/>
            <w:vAlign w:val="center"/>
          </w:tcPr>
          <w:p w14:paraId="5D1E5C8A" w14:textId="27FC4732" w:rsidR="008C71F9" w:rsidRPr="00BF30D5" w:rsidRDefault="008C71F9" w:rsidP="00BF30D5">
            <w:pPr>
              <w:spacing w:before="60" w:after="20" w:line="180" w:lineRule="exact"/>
              <w:jc w:val="both"/>
              <w:rPr>
                <w:rFonts w:ascii="Times New Roman" w:eastAsia="Times New Roman" w:hAnsi="Times New Roman" w:cs="Times New Roman"/>
                <w:bCs/>
                <w:sz w:val="18"/>
                <w:szCs w:val="18"/>
                <w:lang w:val="es-ES_tradnl" w:eastAsia="es-ES"/>
              </w:rPr>
            </w:pPr>
            <w:r w:rsidRPr="00BF30D5">
              <w:rPr>
                <w:rFonts w:ascii="Times New Roman" w:eastAsia="Times New Roman" w:hAnsi="Times New Roman" w:cs="Times New Roman"/>
                <w:bCs/>
                <w:sz w:val="18"/>
                <w:szCs w:val="18"/>
                <w:lang w:val="es-ES_tradnl" w:eastAsia="es-ES"/>
              </w:rPr>
              <w:t xml:space="preserve">Suele argumentarse, con fundamento en el </w:t>
            </w:r>
            <w:hyperlink r:id="rId69" w:anchor="a70" w:history="1">
              <w:r w:rsidRPr="001D075A">
                <w:rPr>
                  <w:rStyle w:val="Hipervnculo"/>
                  <w:rFonts w:ascii="Times New Roman" w:eastAsia="Times New Roman" w:hAnsi="Times New Roman" w:cs="Times New Roman"/>
                  <w:bCs/>
                  <w:sz w:val="18"/>
                  <w:szCs w:val="18"/>
                  <w:lang w:val="es-ES_tradnl" w:eastAsia="es-ES"/>
                </w:rPr>
                <w:t>art. 70-1 del Reglamento</w:t>
              </w:r>
            </w:hyperlink>
            <w:r w:rsidRPr="00BF30D5">
              <w:rPr>
                <w:rFonts w:ascii="Times New Roman" w:eastAsia="Times New Roman" w:hAnsi="Times New Roman" w:cs="Times New Roman"/>
                <w:bCs/>
                <w:sz w:val="18"/>
                <w:szCs w:val="18"/>
                <w:lang w:val="es-ES_tradnl" w:eastAsia="es-ES"/>
              </w:rPr>
              <w:t xml:space="preserve"> y varias antiguas consultas tributarias, que el valor de referencia no afecta a las declaraciones de obra y que la base imponible “</w:t>
            </w:r>
            <w:r w:rsidRPr="00BF30D5">
              <w:rPr>
                <w:rFonts w:ascii="Times New Roman" w:eastAsia="Times New Roman" w:hAnsi="Times New Roman" w:cs="Times New Roman"/>
                <w:bCs/>
                <w:i/>
                <w:iCs/>
                <w:sz w:val="18"/>
                <w:szCs w:val="18"/>
                <w:lang w:val="es-ES_tradnl" w:eastAsia="es-ES"/>
              </w:rPr>
              <w:t>... estará constituida por el valor real de coste de la obra nueva que se declare...</w:t>
            </w:r>
            <w:r w:rsidRPr="00BF30D5">
              <w:rPr>
                <w:rFonts w:ascii="Times New Roman" w:eastAsia="Times New Roman" w:hAnsi="Times New Roman" w:cs="Times New Roman"/>
                <w:bCs/>
                <w:sz w:val="18"/>
                <w:szCs w:val="18"/>
                <w:lang w:val="es-ES_tradnl" w:eastAsia="es-ES"/>
              </w:rPr>
              <w:t>”</w:t>
            </w:r>
            <w:r w:rsidR="00BF30D5" w:rsidRPr="00BF30D5">
              <w:rPr>
                <w:rFonts w:ascii="Times New Roman" w:eastAsia="Times New Roman" w:hAnsi="Times New Roman" w:cs="Times New Roman"/>
                <w:bCs/>
                <w:sz w:val="18"/>
                <w:szCs w:val="18"/>
                <w:lang w:val="es-ES_tradnl" w:eastAsia="es-ES"/>
              </w:rPr>
              <w:t>, que en los supuestos regulares es el Presupuesto de Ejecución Material (PEM).</w:t>
            </w:r>
          </w:p>
          <w:p w14:paraId="023647E9" w14:textId="0051DEDD" w:rsidR="008C71F9" w:rsidRPr="00BF30D5" w:rsidRDefault="008C71F9" w:rsidP="00BF30D5">
            <w:pPr>
              <w:spacing w:after="0" w:line="180" w:lineRule="exact"/>
              <w:jc w:val="both"/>
              <w:rPr>
                <w:rFonts w:ascii="Times New Roman" w:eastAsia="Times New Roman" w:hAnsi="Times New Roman" w:cs="Times New Roman"/>
                <w:bCs/>
                <w:sz w:val="18"/>
                <w:szCs w:val="18"/>
                <w:lang w:val="es-ES_tradnl" w:eastAsia="es-ES"/>
              </w:rPr>
            </w:pPr>
            <w:r w:rsidRPr="00BF30D5">
              <w:rPr>
                <w:rFonts w:ascii="Times New Roman" w:eastAsia="Times New Roman" w:hAnsi="Times New Roman" w:cs="Times New Roman"/>
                <w:bCs/>
                <w:sz w:val="18"/>
                <w:szCs w:val="18"/>
                <w:lang w:val="es-ES_tradnl" w:eastAsia="es-ES"/>
              </w:rPr>
              <w:t>Por mi parte, considero que dicho precepto reglamentario debe entender con sujeción al nuevo paradigma legal</w:t>
            </w:r>
            <w:r w:rsidR="00BF30D5">
              <w:rPr>
                <w:rFonts w:ascii="Times New Roman" w:eastAsia="Times New Roman" w:hAnsi="Times New Roman" w:cs="Times New Roman"/>
                <w:bCs/>
                <w:sz w:val="18"/>
                <w:szCs w:val="18"/>
                <w:lang w:val="es-ES_tradnl" w:eastAsia="es-ES"/>
              </w:rPr>
              <w:t xml:space="preserve"> (y sin perder de vista </w:t>
            </w:r>
            <w:r w:rsidR="00C75F25">
              <w:rPr>
                <w:rFonts w:ascii="Times New Roman" w:eastAsia="Times New Roman" w:hAnsi="Times New Roman" w:cs="Times New Roman"/>
                <w:bCs/>
                <w:sz w:val="18"/>
                <w:szCs w:val="18"/>
                <w:lang w:val="es-ES_tradnl" w:eastAsia="es-ES"/>
              </w:rPr>
              <w:t>la</w:t>
            </w:r>
            <w:r w:rsidR="00BF30D5" w:rsidRPr="00BF30D5">
              <w:rPr>
                <w:rFonts w:ascii="Times New Roman" w:eastAsia="Times New Roman" w:hAnsi="Times New Roman" w:cs="Times New Roman"/>
                <w:bCs/>
                <w:sz w:val="18"/>
                <w:szCs w:val="18"/>
                <w:lang w:val="es-ES_tradnl" w:eastAsia="es-ES"/>
              </w:rPr>
              <w:t xml:space="preserve"> </w:t>
            </w:r>
            <w:hyperlink r:id="rId70" w:history="1">
              <w:r w:rsidR="00BF30D5" w:rsidRPr="001D075A">
                <w:rPr>
                  <w:rStyle w:val="Hipervnculo"/>
                  <w:rFonts w:ascii="Times New Roman" w:eastAsia="Times New Roman" w:hAnsi="Times New Roman" w:cs="Times New Roman"/>
                  <w:bCs/>
                  <w:sz w:val="18"/>
                  <w:szCs w:val="18"/>
                  <w:lang w:val="es-ES_tradnl" w:eastAsia="es-ES"/>
                </w:rPr>
                <w:t>S</w:t>
              </w:r>
              <w:r w:rsidR="00C75F25" w:rsidRPr="001D075A">
                <w:rPr>
                  <w:rStyle w:val="Hipervnculo"/>
                  <w:rFonts w:ascii="Times New Roman" w:eastAsia="Times New Roman" w:hAnsi="Times New Roman" w:cs="Times New Roman"/>
                  <w:bCs/>
                  <w:sz w:val="18"/>
                  <w:szCs w:val="18"/>
                  <w:lang w:val="es-ES_tradnl" w:eastAsia="es-ES"/>
                </w:rPr>
                <w:t>TS</w:t>
              </w:r>
              <w:r w:rsidR="00BF30D5" w:rsidRPr="001D075A">
                <w:rPr>
                  <w:rStyle w:val="Hipervnculo"/>
                  <w:rFonts w:ascii="Times New Roman" w:eastAsia="Times New Roman" w:hAnsi="Times New Roman" w:cs="Times New Roman"/>
                  <w:bCs/>
                  <w:sz w:val="18"/>
                  <w:szCs w:val="18"/>
                  <w:lang w:val="es-ES_tradnl" w:eastAsia="es-ES"/>
                </w:rPr>
                <w:t xml:space="preserve"> de 18 de mayo de 2020</w:t>
              </w:r>
            </w:hyperlink>
            <w:r w:rsidR="00C75F25">
              <w:rPr>
                <w:rFonts w:ascii="Times New Roman" w:eastAsia="Times New Roman" w:hAnsi="Times New Roman" w:cs="Times New Roman"/>
                <w:bCs/>
                <w:sz w:val="18"/>
                <w:szCs w:val="18"/>
                <w:lang w:val="es-ES_tradnl" w:eastAsia="es-ES"/>
              </w:rPr>
              <w:t>, según la cual, e</w:t>
            </w:r>
            <w:r w:rsidR="00BF30D5" w:rsidRPr="00BF30D5">
              <w:rPr>
                <w:rFonts w:ascii="Times New Roman" w:eastAsia="Times New Roman" w:hAnsi="Times New Roman" w:cs="Times New Roman"/>
                <w:bCs/>
                <w:sz w:val="18"/>
                <w:szCs w:val="18"/>
                <w:lang w:val="es-ES_tradnl" w:eastAsia="es-ES"/>
              </w:rPr>
              <w:t>s admisible  como medio de comprobación el valor dado por el propio interesado al “coste de ejecución de la obra” en el seguro decenal</w:t>
            </w:r>
            <w:r w:rsidR="00C75F25">
              <w:rPr>
                <w:rFonts w:ascii="Times New Roman" w:eastAsia="Times New Roman" w:hAnsi="Times New Roman" w:cs="Times New Roman"/>
                <w:bCs/>
                <w:sz w:val="18"/>
                <w:szCs w:val="18"/>
                <w:lang w:val="es-ES_tradnl" w:eastAsia="es-ES"/>
              </w:rPr>
              <w:t>)</w:t>
            </w:r>
            <w:r w:rsidRPr="00BF30D5">
              <w:rPr>
                <w:rFonts w:ascii="Times New Roman" w:eastAsia="Times New Roman" w:hAnsi="Times New Roman" w:cs="Times New Roman"/>
                <w:bCs/>
                <w:sz w:val="18"/>
                <w:szCs w:val="18"/>
                <w:lang w:val="es-ES_tradnl" w:eastAsia="es-ES"/>
              </w:rPr>
              <w:t>:</w:t>
            </w:r>
          </w:p>
          <w:p w14:paraId="2A1BEB2E" w14:textId="306D8008" w:rsidR="009652AC" w:rsidRPr="00BF30D5" w:rsidRDefault="00BF30D5" w:rsidP="00BF30D5">
            <w:pPr>
              <w:spacing w:after="0" w:line="180" w:lineRule="exact"/>
              <w:jc w:val="both"/>
              <w:rPr>
                <w:rFonts w:ascii="Times New Roman" w:eastAsia="Times New Roman" w:hAnsi="Times New Roman" w:cs="Times New Roman"/>
                <w:bCs/>
                <w:sz w:val="18"/>
                <w:szCs w:val="18"/>
                <w:lang w:val="es-ES_tradnl" w:eastAsia="es-ES"/>
              </w:rPr>
            </w:pPr>
            <w:r w:rsidRPr="00BF30D5">
              <w:rPr>
                <w:rFonts w:ascii="Times New Roman" w:eastAsia="Times New Roman" w:hAnsi="Times New Roman" w:cs="Times New Roman"/>
                <w:bCs/>
                <w:sz w:val="18"/>
                <w:szCs w:val="18"/>
                <w:lang w:val="es-ES_tradnl" w:eastAsia="es-ES"/>
              </w:rPr>
              <w:t xml:space="preserve">- </w:t>
            </w:r>
            <w:r w:rsidRPr="00B50F5E">
              <w:rPr>
                <w:rFonts w:ascii="Times New Roman" w:eastAsia="Times New Roman" w:hAnsi="Times New Roman" w:cs="Times New Roman"/>
                <w:bCs/>
                <w:sz w:val="18"/>
                <w:szCs w:val="18"/>
                <w:u w:val="single"/>
                <w:lang w:val="es-ES_tradnl" w:eastAsia="es-ES"/>
              </w:rPr>
              <w:t>Obra nueva</w:t>
            </w:r>
            <w:r w:rsidRPr="00BF30D5">
              <w:rPr>
                <w:rFonts w:ascii="Times New Roman" w:eastAsia="Times New Roman" w:hAnsi="Times New Roman" w:cs="Times New Roman"/>
                <w:bCs/>
                <w:sz w:val="18"/>
                <w:szCs w:val="18"/>
                <w:lang w:val="es-ES_tradnl" w:eastAsia="es-ES"/>
              </w:rPr>
              <w:t>: PEM (salvo que interese declarar por coste efectivo demostrable mayor)</w:t>
            </w:r>
            <w:r>
              <w:rPr>
                <w:rFonts w:ascii="Times New Roman" w:eastAsia="Times New Roman" w:hAnsi="Times New Roman" w:cs="Times New Roman"/>
                <w:bCs/>
                <w:sz w:val="18"/>
                <w:szCs w:val="18"/>
                <w:lang w:val="es-ES_tradnl" w:eastAsia="es-ES"/>
              </w:rPr>
              <w:t>, sin que incida</w:t>
            </w:r>
            <w:r w:rsidRPr="00BF30D5">
              <w:rPr>
                <w:rFonts w:ascii="Times New Roman" w:eastAsia="Times New Roman" w:hAnsi="Times New Roman" w:cs="Times New Roman"/>
                <w:bCs/>
                <w:sz w:val="18"/>
                <w:szCs w:val="18"/>
                <w:lang w:val="es-ES_tradnl" w:eastAsia="es-ES"/>
              </w:rPr>
              <w:t xml:space="preserve"> el valor de referencia porque por su misma novedad no hay.</w:t>
            </w:r>
          </w:p>
          <w:p w14:paraId="1BA1241A" w14:textId="23B34BBE" w:rsidR="008C71F9" w:rsidRPr="00BF30D5" w:rsidRDefault="00BF30D5" w:rsidP="00BF30D5">
            <w:pPr>
              <w:spacing w:after="0" w:line="180" w:lineRule="exact"/>
              <w:jc w:val="both"/>
              <w:rPr>
                <w:rFonts w:ascii="Times New Roman" w:eastAsia="Times New Roman" w:hAnsi="Times New Roman" w:cs="Times New Roman"/>
                <w:bCs/>
                <w:sz w:val="18"/>
                <w:szCs w:val="18"/>
                <w:lang w:val="es-ES_tradnl" w:eastAsia="es-ES"/>
              </w:rPr>
            </w:pPr>
            <w:r w:rsidRPr="00BF30D5">
              <w:rPr>
                <w:rFonts w:ascii="Times New Roman" w:eastAsia="Times New Roman" w:hAnsi="Times New Roman" w:cs="Times New Roman"/>
                <w:bCs/>
                <w:sz w:val="18"/>
                <w:szCs w:val="18"/>
                <w:lang w:val="es-ES_tradnl" w:eastAsia="es-ES"/>
              </w:rPr>
              <w:t xml:space="preserve">- </w:t>
            </w:r>
            <w:r w:rsidRPr="00B50F5E">
              <w:rPr>
                <w:rFonts w:ascii="Times New Roman" w:eastAsia="Times New Roman" w:hAnsi="Times New Roman" w:cs="Times New Roman"/>
                <w:bCs/>
                <w:sz w:val="18"/>
                <w:szCs w:val="18"/>
                <w:u w:val="single"/>
                <w:lang w:val="es-ES_tradnl" w:eastAsia="es-ES"/>
              </w:rPr>
              <w:t>Obra seminueva con licencia (con PEM normalmente)</w:t>
            </w:r>
            <w:r w:rsidRPr="00BF30D5">
              <w:rPr>
                <w:rFonts w:ascii="Times New Roman" w:eastAsia="Times New Roman" w:hAnsi="Times New Roman" w:cs="Times New Roman"/>
                <w:bCs/>
                <w:sz w:val="18"/>
                <w:szCs w:val="18"/>
                <w:lang w:val="es-ES_tradnl" w:eastAsia="es-ES"/>
              </w:rPr>
              <w:t>: PEM (salvo que interese declarar por coste efectivo demostrable mayor) y como mínimo el valor de referencia si lo ha</w:t>
            </w:r>
            <w:r>
              <w:rPr>
                <w:rFonts w:ascii="Times New Roman" w:eastAsia="Times New Roman" w:hAnsi="Times New Roman" w:cs="Times New Roman"/>
                <w:bCs/>
                <w:sz w:val="18"/>
                <w:szCs w:val="18"/>
                <w:lang w:val="es-ES_tradnl" w:eastAsia="es-ES"/>
              </w:rPr>
              <w:t>y.</w:t>
            </w:r>
          </w:p>
          <w:p w14:paraId="7D36CE29" w14:textId="73D57BBC" w:rsidR="00BF30D5" w:rsidRPr="00BF30D5" w:rsidRDefault="00BF30D5" w:rsidP="00BF30D5">
            <w:pPr>
              <w:spacing w:after="60" w:line="180" w:lineRule="exact"/>
              <w:jc w:val="both"/>
              <w:rPr>
                <w:rFonts w:ascii="Times New Roman" w:eastAsia="Times New Roman" w:hAnsi="Times New Roman" w:cs="Times New Roman"/>
                <w:bCs/>
                <w:lang w:val="es-ES_tradnl" w:eastAsia="es-ES"/>
              </w:rPr>
            </w:pPr>
            <w:r w:rsidRPr="00BF30D5">
              <w:rPr>
                <w:rFonts w:ascii="Times New Roman" w:eastAsia="Times New Roman" w:hAnsi="Times New Roman" w:cs="Times New Roman"/>
                <w:bCs/>
                <w:sz w:val="18"/>
                <w:szCs w:val="18"/>
                <w:lang w:val="es-ES_tradnl" w:eastAsia="es-ES"/>
              </w:rPr>
              <w:t xml:space="preserve">- </w:t>
            </w:r>
            <w:r w:rsidRPr="00B50F5E">
              <w:rPr>
                <w:rFonts w:ascii="Times New Roman" w:eastAsia="Times New Roman" w:hAnsi="Times New Roman" w:cs="Times New Roman"/>
                <w:bCs/>
                <w:sz w:val="18"/>
                <w:szCs w:val="18"/>
                <w:u w:val="single"/>
                <w:lang w:val="es-ES_tradnl" w:eastAsia="es-ES"/>
              </w:rPr>
              <w:t>Obra vieja sin licencia (en realidad sin PEM)</w:t>
            </w:r>
            <w:r w:rsidRPr="00BF30D5">
              <w:rPr>
                <w:rFonts w:ascii="Times New Roman" w:eastAsia="Times New Roman" w:hAnsi="Times New Roman" w:cs="Times New Roman"/>
                <w:bCs/>
                <w:sz w:val="18"/>
                <w:szCs w:val="18"/>
                <w:lang w:val="es-ES_tradnl" w:eastAsia="es-ES"/>
              </w:rPr>
              <w:t>: Valor de referencia si lo hay (salvo que interese declarar por coste efectivo demostrable mayor) y, en su defecto, valor declarado (sin perder de vista los criterios orientativos de los valores mínimos</w:t>
            </w:r>
            <w:r w:rsidR="00B6136B">
              <w:rPr>
                <w:rFonts w:ascii="Times New Roman" w:eastAsia="Times New Roman" w:hAnsi="Times New Roman" w:cs="Times New Roman"/>
                <w:bCs/>
                <w:sz w:val="18"/>
                <w:szCs w:val="18"/>
                <w:lang w:val="es-ES_tradnl" w:eastAsia="es-ES"/>
              </w:rPr>
              <w:t xml:space="preserve"> autonómicos</w:t>
            </w:r>
            <w:r w:rsidRPr="00BF30D5">
              <w:rPr>
                <w:rFonts w:ascii="Times New Roman" w:eastAsia="Times New Roman" w:hAnsi="Times New Roman" w:cs="Times New Roman"/>
                <w:bCs/>
                <w:sz w:val="18"/>
                <w:szCs w:val="18"/>
                <w:lang w:val="es-ES_tradnl" w:eastAsia="es-ES"/>
              </w:rPr>
              <w:t>).</w:t>
            </w:r>
          </w:p>
        </w:tc>
      </w:tr>
    </w:tbl>
    <w:p w14:paraId="13B91E00" w14:textId="56B20563" w:rsidR="003E3703" w:rsidRDefault="003E3703" w:rsidP="00012EDE"/>
    <w:bookmarkEnd w:id="5"/>
    <w:p w14:paraId="13A2A578" w14:textId="01442C5B" w:rsidR="005E0A61" w:rsidRDefault="005E0A61" w:rsidP="005E0A61">
      <w:pPr>
        <w:spacing w:after="0" w:line="2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660"/>
      </w:tblGrid>
      <w:tr w:rsidR="005E0A61" w:rsidRPr="000E48AA" w14:paraId="1C5537A7" w14:textId="77777777" w:rsidTr="006D54DB">
        <w:trPr>
          <w:trHeight w:hRule="exact" w:val="556"/>
          <w:jc w:val="center"/>
        </w:trPr>
        <w:tc>
          <w:tcPr>
            <w:tcW w:w="1798" w:type="dxa"/>
            <w:tcBorders>
              <w:top w:val="single" w:sz="18" w:space="0" w:color="FFFFFF"/>
              <w:left w:val="single" w:sz="18" w:space="0" w:color="FFFFFF"/>
              <w:bottom w:val="single" w:sz="18" w:space="0" w:color="auto"/>
              <w:right w:val="single" w:sz="18" w:space="0" w:color="auto"/>
            </w:tcBorders>
            <w:shd w:val="clear" w:color="auto" w:fill="FFFFFF"/>
          </w:tcPr>
          <w:p w14:paraId="61B2A636" w14:textId="77777777" w:rsidR="005E0A61" w:rsidRDefault="005E0A61" w:rsidP="003369E4">
            <w:pPr>
              <w:spacing w:after="0" w:line="240" w:lineRule="auto"/>
              <w:jc w:val="center"/>
              <w:rPr>
                <w:rFonts w:ascii="Times New Roman" w:eastAsia="Times New Roman" w:hAnsi="Times New Roman" w:cs="Times New Roman"/>
                <w:sz w:val="24"/>
                <w:szCs w:val="24"/>
                <w:lang w:eastAsia="es-ES"/>
              </w:rPr>
            </w:pPr>
          </w:p>
          <w:p w14:paraId="1D9F599C" w14:textId="77777777" w:rsidR="005E0A61" w:rsidRDefault="005E0A61" w:rsidP="003369E4">
            <w:pPr>
              <w:spacing w:after="0" w:line="240" w:lineRule="auto"/>
              <w:jc w:val="center"/>
              <w:rPr>
                <w:rFonts w:ascii="Times New Roman" w:eastAsia="Times New Roman" w:hAnsi="Times New Roman" w:cs="Times New Roman"/>
                <w:sz w:val="24"/>
                <w:szCs w:val="24"/>
                <w:lang w:eastAsia="es-ES"/>
              </w:rPr>
            </w:pPr>
          </w:p>
          <w:p w14:paraId="053D700C" w14:textId="77777777" w:rsidR="005E0A61" w:rsidRPr="000E48AA" w:rsidRDefault="005E0A61" w:rsidP="003369E4">
            <w:pPr>
              <w:spacing w:after="0" w:line="240" w:lineRule="auto"/>
              <w:jc w:val="center"/>
              <w:rPr>
                <w:rFonts w:ascii="Times New Roman" w:eastAsia="Times New Roman" w:hAnsi="Times New Roman" w:cs="Times New Roman"/>
                <w:sz w:val="24"/>
                <w:szCs w:val="24"/>
                <w:lang w:eastAsia="es-ES"/>
              </w:rPr>
            </w:pPr>
          </w:p>
        </w:tc>
        <w:tc>
          <w:tcPr>
            <w:tcW w:w="6660" w:type="dxa"/>
            <w:tcBorders>
              <w:top w:val="single" w:sz="18" w:space="0" w:color="auto"/>
              <w:left w:val="single" w:sz="18" w:space="0" w:color="auto"/>
              <w:bottom w:val="single" w:sz="18" w:space="0" w:color="auto"/>
              <w:right w:val="single" w:sz="18" w:space="0" w:color="auto"/>
            </w:tcBorders>
            <w:shd w:val="clear" w:color="auto" w:fill="CCCCCC"/>
            <w:vAlign w:val="center"/>
          </w:tcPr>
          <w:p w14:paraId="5333F680" w14:textId="0B847FE5" w:rsidR="005E0A61" w:rsidRPr="00826A10" w:rsidRDefault="007D2CD1" w:rsidP="00826A10">
            <w:pPr>
              <w:pStyle w:val="Prrafodelista"/>
              <w:numPr>
                <w:ilvl w:val="0"/>
                <w:numId w:val="3"/>
              </w:numPr>
              <w:spacing w:before="60" w:after="0" w:line="220" w:lineRule="exact"/>
              <w:ind w:left="357" w:hanging="357"/>
              <w:contextualSpacing w:val="0"/>
              <w:jc w:val="center"/>
              <w:rPr>
                <w:rFonts w:ascii="Times New Roman" w:eastAsia="Times New Roman" w:hAnsi="Times New Roman" w:cs="Times New Roman"/>
                <w:b/>
                <w:color w:val="000000"/>
                <w:sz w:val="28"/>
                <w:szCs w:val="28"/>
                <w:lang w:eastAsia="es-ES"/>
              </w:rPr>
            </w:pPr>
            <w:bookmarkStart w:id="8" w:name="DISCUTIDOS2"/>
            <w:bookmarkEnd w:id="8"/>
            <w:r w:rsidRPr="00826A10">
              <w:rPr>
                <w:rFonts w:ascii="Times New Roman" w:eastAsia="Times New Roman" w:hAnsi="Times New Roman" w:cs="Times New Roman"/>
                <w:b/>
                <w:color w:val="000000"/>
                <w:sz w:val="28"/>
                <w:szCs w:val="28"/>
                <w:lang w:eastAsia="es-ES"/>
              </w:rPr>
              <w:t>EXCESOS DE ADJUDICACIÓN</w:t>
            </w:r>
          </w:p>
          <w:p w14:paraId="21001C95" w14:textId="1D0FA50D" w:rsidR="00826A10" w:rsidRPr="00826A10" w:rsidRDefault="00826A10" w:rsidP="00826A10">
            <w:pPr>
              <w:pStyle w:val="Prrafodelista"/>
              <w:spacing w:after="60" w:line="200" w:lineRule="exact"/>
              <w:ind w:left="357"/>
              <w:contextualSpacing w:val="0"/>
              <w:jc w:val="center"/>
              <w:rPr>
                <w:rFonts w:ascii="Times New Roman" w:eastAsia="Times New Roman" w:hAnsi="Times New Roman" w:cs="Times New Roman"/>
                <w:b/>
                <w:color w:val="000000"/>
                <w:sz w:val="18"/>
                <w:szCs w:val="18"/>
                <w:lang w:eastAsia="es-ES"/>
              </w:rPr>
            </w:pPr>
            <w:r w:rsidRPr="00826A10">
              <w:rPr>
                <w:rFonts w:ascii="Times New Roman" w:eastAsia="Times New Roman" w:hAnsi="Times New Roman" w:cs="Times New Roman"/>
                <w:color w:val="000000"/>
                <w:sz w:val="18"/>
                <w:szCs w:val="18"/>
                <w:lang w:eastAsia="es-ES"/>
              </w:rPr>
              <w:t xml:space="preserve">[ver </w:t>
            </w:r>
            <w:r w:rsidRPr="00826A10">
              <w:rPr>
                <w:rFonts w:ascii="Times New Roman" w:eastAsia="Times New Roman" w:hAnsi="Times New Roman" w:cs="Times New Roman"/>
                <w:sz w:val="18"/>
                <w:szCs w:val="18"/>
                <w:lang w:eastAsia="es-ES"/>
              </w:rPr>
              <w:t>Javier JUÁREZ</w:t>
            </w:r>
            <w:r w:rsidRPr="00826A10">
              <w:rPr>
                <w:rFonts w:ascii="Times New Roman" w:eastAsia="Times New Roman" w:hAnsi="Times New Roman" w:cs="Times New Roman"/>
                <w:color w:val="000000"/>
                <w:sz w:val="18"/>
                <w:szCs w:val="18"/>
                <w:lang w:eastAsia="es-ES"/>
              </w:rPr>
              <w:t xml:space="preserve"> (</w:t>
            </w:r>
            <w:hyperlink r:id="rId71" w:anchor="tercera-parte-tema-del-mes-el-valor-de-referencia-en-las-extinciones-de-condominio" w:history="1">
              <w:r w:rsidRPr="00826A10">
                <w:rPr>
                  <w:rStyle w:val="Hipervnculo"/>
                  <w:rFonts w:ascii="Times New Roman" w:hAnsi="Times New Roman" w:cs="Times New Roman"/>
                  <w:sz w:val="18"/>
                  <w:szCs w:val="18"/>
                </w:rPr>
                <w:t>abril 2025</w:t>
              </w:r>
            </w:hyperlink>
            <w:r w:rsidRPr="00826A10">
              <w:rPr>
                <w:rFonts w:ascii="Times New Roman" w:eastAsia="Times New Roman" w:hAnsi="Times New Roman" w:cs="Times New Roman"/>
                <w:color w:val="000000"/>
                <w:sz w:val="18"/>
                <w:szCs w:val="18"/>
                <w:lang w:eastAsia="es-ES"/>
              </w:rPr>
              <w:t>)]</w:t>
            </w:r>
          </w:p>
        </w:tc>
      </w:tr>
      <w:tr w:rsidR="005E0A61" w:rsidRPr="000E48AA" w14:paraId="73024093" w14:textId="77777777" w:rsidTr="007D1D45">
        <w:trPr>
          <w:trHeight w:val="523"/>
          <w:jc w:val="center"/>
        </w:trPr>
        <w:tc>
          <w:tcPr>
            <w:tcW w:w="1798" w:type="dxa"/>
            <w:tcBorders>
              <w:top w:val="single" w:sz="18" w:space="0" w:color="auto"/>
              <w:left w:val="single" w:sz="18" w:space="0" w:color="auto"/>
              <w:bottom w:val="single" w:sz="12" w:space="0" w:color="auto"/>
              <w:right w:val="single" w:sz="18" w:space="0" w:color="auto"/>
            </w:tcBorders>
            <w:shd w:val="clear" w:color="auto" w:fill="FFFFFF" w:themeFill="background1"/>
            <w:vAlign w:val="center"/>
          </w:tcPr>
          <w:p w14:paraId="0C44CC00" w14:textId="3B4207DF" w:rsidR="005E0A61" w:rsidRDefault="00746EF6" w:rsidP="003369E4">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Regla general</w:t>
            </w:r>
          </w:p>
        </w:tc>
        <w:tc>
          <w:tcPr>
            <w:tcW w:w="6660" w:type="dxa"/>
            <w:tcBorders>
              <w:top w:val="single" w:sz="18" w:space="0" w:color="auto"/>
              <w:left w:val="single" w:sz="18" w:space="0" w:color="auto"/>
              <w:bottom w:val="single" w:sz="12" w:space="0" w:color="auto"/>
              <w:right w:val="single" w:sz="18" w:space="0" w:color="auto"/>
            </w:tcBorders>
            <w:shd w:val="clear" w:color="auto" w:fill="FFFFFF" w:themeFill="background1"/>
            <w:vAlign w:val="center"/>
          </w:tcPr>
          <w:p w14:paraId="0DB07626" w14:textId="77777777" w:rsidR="00B85563" w:rsidRPr="00FB1E9D" w:rsidRDefault="005E0A61" w:rsidP="00FB1E9D">
            <w:pPr>
              <w:spacing w:before="60" w:after="0" w:line="220" w:lineRule="exact"/>
              <w:jc w:val="both"/>
              <w:rPr>
                <w:rFonts w:ascii="Times New Roman" w:eastAsia="Times New Roman" w:hAnsi="Times New Roman" w:cs="Times New Roman"/>
                <w:lang w:eastAsia="es-ES"/>
              </w:rPr>
            </w:pPr>
            <w:r w:rsidRPr="00FB1E9D">
              <w:rPr>
                <w:rFonts w:ascii="Times New Roman" w:eastAsia="Times New Roman" w:hAnsi="Times New Roman" w:cs="Times New Roman"/>
                <w:lang w:eastAsia="es-ES"/>
              </w:rPr>
              <w:t>En principio la regla general es que tributan los excesos “declarados” pero no los “comprobados”, es decir, el valor de referencia no afecta a la existencia de supuestos excesos de adjudicación en los actos particionales (liquidación de gananciales, adjudicaciones hereditarias, extinciones de condominio, etc), derivados precisamente de las diferencias entre el valor declarado y el valor de referencia de alguno de los bienes.</w:t>
            </w:r>
          </w:p>
          <w:p w14:paraId="4652D6AB" w14:textId="7A46EAF3" w:rsidR="005E0A61" w:rsidRPr="00B85563" w:rsidRDefault="005E0A61" w:rsidP="00FB1E9D">
            <w:pPr>
              <w:spacing w:after="60" w:line="220" w:lineRule="exact"/>
              <w:jc w:val="both"/>
              <w:rPr>
                <w:rFonts w:ascii="Times New Roman" w:eastAsia="Times New Roman" w:hAnsi="Times New Roman" w:cs="Times New Roman"/>
                <w:lang w:eastAsia="es-ES"/>
              </w:rPr>
            </w:pPr>
            <w:r w:rsidRPr="00FB1E9D">
              <w:rPr>
                <w:rFonts w:ascii="Times New Roman" w:eastAsia="Times New Roman" w:hAnsi="Times New Roman" w:cs="Times New Roman"/>
                <w:lang w:eastAsia="es-ES"/>
              </w:rPr>
              <w:t>Y ello porque todos los preceptos relativos a los excesos de adjudicación siguen refiriéndose al valor declarado.</w:t>
            </w:r>
            <w:r w:rsidRPr="00B85563">
              <w:rPr>
                <w:rFonts w:ascii="Times New Roman" w:eastAsia="Times New Roman" w:hAnsi="Times New Roman" w:cs="Times New Roman"/>
                <w:lang w:eastAsia="es-ES"/>
              </w:rPr>
              <w:t xml:space="preserve"> </w:t>
            </w:r>
          </w:p>
        </w:tc>
      </w:tr>
      <w:tr w:rsidR="005E0A61" w:rsidRPr="000E48AA" w14:paraId="73FD6A97" w14:textId="77777777" w:rsidTr="00C42031">
        <w:trPr>
          <w:trHeight w:val="521"/>
          <w:jc w:val="center"/>
        </w:trPr>
        <w:tc>
          <w:tcPr>
            <w:tcW w:w="1798"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38743B2B" w14:textId="7D0F218F" w:rsidR="005E0A61" w:rsidRDefault="00746EF6" w:rsidP="003369E4">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Excepción</w:t>
            </w:r>
          </w:p>
        </w:tc>
        <w:tc>
          <w:tcPr>
            <w:tcW w:w="6660"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5E0EAC86" w14:textId="77777777" w:rsidR="005E0A61" w:rsidRPr="00B85563" w:rsidRDefault="005E0A61" w:rsidP="00B85563">
            <w:pPr>
              <w:spacing w:before="60" w:after="60" w:line="220" w:lineRule="exact"/>
              <w:jc w:val="both"/>
              <w:rPr>
                <w:rFonts w:ascii="Times New Roman" w:eastAsia="Times New Roman" w:hAnsi="Times New Roman" w:cs="Times New Roman"/>
                <w:lang w:eastAsia="es-ES"/>
              </w:rPr>
            </w:pPr>
            <w:r w:rsidRPr="00B85563">
              <w:rPr>
                <w:rFonts w:ascii="Times New Roman" w:eastAsia="Times New Roman" w:hAnsi="Times New Roman" w:cs="Times New Roman"/>
                <w:lang w:eastAsia="es-ES"/>
              </w:rPr>
              <w:t xml:space="preserve">La excepción clara es el </w:t>
            </w:r>
            <w:hyperlink r:id="rId72" w:anchor="a27" w:history="1">
              <w:r w:rsidRPr="00B85563">
                <w:rPr>
                  <w:rStyle w:val="Hipervnculo"/>
                  <w:rFonts w:ascii="Times New Roman" w:eastAsia="Times New Roman" w:hAnsi="Times New Roman" w:cs="Times New Roman"/>
                  <w:lang w:eastAsia="es-ES"/>
                </w:rPr>
                <w:t>art. 27-3 LISyD</w:t>
              </w:r>
            </w:hyperlink>
            <w:r w:rsidRPr="00B85563">
              <w:rPr>
                <w:rFonts w:ascii="Times New Roman" w:eastAsia="Times New Roman" w:hAnsi="Times New Roman" w:cs="Times New Roman"/>
                <w:lang w:eastAsia="es-ES"/>
              </w:rPr>
              <w:t>, cuando el valor de referencia exceda del 50% del valor que correspondería en virtud del título sucesorio</w:t>
            </w:r>
          </w:p>
        </w:tc>
      </w:tr>
      <w:tr w:rsidR="005E0A61" w:rsidRPr="000E48AA" w14:paraId="481B09B0" w14:textId="77777777" w:rsidTr="007D1D45">
        <w:trPr>
          <w:trHeight w:val="733"/>
          <w:jc w:val="center"/>
        </w:trPr>
        <w:tc>
          <w:tcPr>
            <w:tcW w:w="1798" w:type="dxa"/>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5BEF21DC" w14:textId="7C16E339" w:rsidR="005E0A61" w:rsidRDefault="00746EF6" w:rsidP="003369E4">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¿Sujeción al Impuesto sobre Donaciones?</w:t>
            </w:r>
          </w:p>
        </w:tc>
        <w:tc>
          <w:tcPr>
            <w:tcW w:w="6660" w:type="dxa"/>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7FF2CA43" w14:textId="77777777" w:rsidR="005E0A61" w:rsidRPr="00FB1E9D" w:rsidRDefault="005E0A61" w:rsidP="00B85563">
            <w:pPr>
              <w:spacing w:before="60" w:after="20" w:line="220" w:lineRule="exact"/>
              <w:jc w:val="both"/>
              <w:rPr>
                <w:rFonts w:ascii="Times New Roman" w:eastAsia="Times New Roman" w:hAnsi="Times New Roman" w:cs="Times New Roman"/>
                <w:sz w:val="20"/>
                <w:szCs w:val="20"/>
                <w:lang w:eastAsia="es-ES"/>
              </w:rPr>
            </w:pPr>
            <w:r w:rsidRPr="00FB1E9D">
              <w:rPr>
                <w:rFonts w:ascii="Times New Roman" w:eastAsia="Times New Roman" w:hAnsi="Times New Roman" w:cs="Times New Roman"/>
                <w:sz w:val="20"/>
                <w:szCs w:val="20"/>
                <w:lang w:eastAsia="es-ES"/>
              </w:rPr>
              <w:t xml:space="preserve">La </w:t>
            </w:r>
            <w:hyperlink r:id="rId73" w:history="1">
              <w:r w:rsidRPr="00FB1E9D">
                <w:rPr>
                  <w:rStyle w:val="Hipervnculo"/>
                  <w:rFonts w:ascii="Times New Roman" w:eastAsia="Times New Roman" w:hAnsi="Times New Roman" w:cs="Times New Roman"/>
                  <w:sz w:val="20"/>
                  <w:szCs w:val="20"/>
                  <w:lang w:eastAsia="es-ES"/>
                </w:rPr>
                <w:t>Resolución DGT 28/01/2022</w:t>
              </w:r>
            </w:hyperlink>
            <w:r w:rsidRPr="00FB1E9D">
              <w:rPr>
                <w:rFonts w:ascii="Times New Roman" w:eastAsia="Times New Roman" w:hAnsi="Times New Roman" w:cs="Times New Roman"/>
                <w:sz w:val="20"/>
                <w:szCs w:val="20"/>
                <w:lang w:eastAsia="es-ES"/>
              </w:rPr>
              <w:t>, en un supuesto en que dos hermanos extinguían la comunidad sobre dos inmuebles adquiridos por herencia de su padre, adjudicándose cada uno de los comuneros un inmueble por igual valor declarado, entendió que había exceso de adjudicación sujeto al Impuesto sobre Donaciones por la mitad de la diferencia entre el valor declarado y el de referencia de uno de ellos.</w:t>
            </w:r>
          </w:p>
          <w:p w14:paraId="0B72BDAA" w14:textId="77777777" w:rsidR="005E0A61" w:rsidRPr="00FB1E9D" w:rsidRDefault="00054EF6" w:rsidP="00C53818">
            <w:pPr>
              <w:spacing w:before="20" w:after="0" w:line="220" w:lineRule="exact"/>
              <w:jc w:val="both"/>
              <w:rPr>
                <w:rFonts w:ascii="Times New Roman" w:eastAsia="Times New Roman" w:hAnsi="Times New Roman" w:cs="Times New Roman"/>
                <w:sz w:val="20"/>
                <w:szCs w:val="20"/>
                <w:lang w:eastAsia="es-ES"/>
              </w:rPr>
            </w:pPr>
            <w:r w:rsidRPr="00FB1E9D">
              <w:rPr>
                <w:rFonts w:ascii="Times New Roman" w:eastAsia="Times New Roman" w:hAnsi="Times New Roman" w:cs="Times New Roman"/>
                <w:sz w:val="20"/>
                <w:szCs w:val="20"/>
                <w:lang w:eastAsia="es-ES"/>
              </w:rPr>
              <w:t>Por el contrario</w:t>
            </w:r>
            <w:r w:rsidR="005E0A61" w:rsidRPr="00FB1E9D">
              <w:rPr>
                <w:rFonts w:ascii="Times New Roman" w:eastAsia="Times New Roman" w:hAnsi="Times New Roman" w:cs="Times New Roman"/>
                <w:sz w:val="20"/>
                <w:szCs w:val="20"/>
                <w:lang w:eastAsia="es-ES"/>
              </w:rPr>
              <w:t xml:space="preserve">, la </w:t>
            </w:r>
            <w:hyperlink r:id="rId74" w:history="1">
              <w:r w:rsidR="005E0A61" w:rsidRPr="00FB1E9D">
                <w:rPr>
                  <w:rStyle w:val="Hipervnculo"/>
                  <w:rFonts w:ascii="Times New Roman" w:eastAsia="Times New Roman" w:hAnsi="Times New Roman" w:cs="Times New Roman"/>
                  <w:sz w:val="20"/>
                  <w:szCs w:val="20"/>
                  <w:lang w:eastAsia="es-ES"/>
                </w:rPr>
                <w:t>Resolución DGT 18/09/2023</w:t>
              </w:r>
            </w:hyperlink>
            <w:r w:rsidR="005E0A61" w:rsidRPr="00FB1E9D">
              <w:rPr>
                <w:rFonts w:ascii="Times New Roman" w:eastAsia="Times New Roman" w:hAnsi="Times New Roman" w:cs="Times New Roman"/>
                <w:sz w:val="20"/>
                <w:szCs w:val="20"/>
                <w:lang w:eastAsia="es-ES"/>
              </w:rPr>
              <w:t>, en un supuesto de adjudicación por indivisibilidad a uno de los condueños con pago en metálico a los demás, se limita a decir que la base imponible del IAJD es el valor de referencia correspondiente a los salientes, pero nada dice acerca de si la diferencia entre el valor declarado y el de referencia queda sujeta al Impuesto sobre Donaciones.</w:t>
            </w:r>
          </w:p>
          <w:p w14:paraId="20466846" w14:textId="664C2901" w:rsidR="00C53818" w:rsidRPr="00781CD0" w:rsidRDefault="006B3F49" w:rsidP="00B85563">
            <w:pPr>
              <w:spacing w:before="20" w:after="60" w:line="220" w:lineRule="exact"/>
              <w:jc w:val="both"/>
              <w:rPr>
                <w:rFonts w:ascii="Times New Roman" w:eastAsia="Times New Roman" w:hAnsi="Times New Roman" w:cs="Times New Roman"/>
                <w:sz w:val="18"/>
                <w:szCs w:val="18"/>
                <w:lang w:eastAsia="es-ES"/>
              </w:rPr>
            </w:pPr>
            <w:r w:rsidRPr="00FB1E9D">
              <w:rPr>
                <w:rFonts w:ascii="Times New Roman" w:eastAsia="Times New Roman" w:hAnsi="Times New Roman" w:cs="Times New Roman"/>
                <w:sz w:val="20"/>
                <w:szCs w:val="20"/>
                <w:lang w:eastAsia="es-ES"/>
              </w:rPr>
              <w:t>De nuevo</w:t>
            </w:r>
            <w:r w:rsidR="00C53818" w:rsidRPr="00FB1E9D">
              <w:rPr>
                <w:rFonts w:ascii="Times New Roman" w:eastAsia="Times New Roman" w:hAnsi="Times New Roman" w:cs="Times New Roman"/>
                <w:sz w:val="20"/>
                <w:szCs w:val="20"/>
                <w:lang w:eastAsia="es-ES"/>
              </w:rPr>
              <w:t xml:space="preserve"> la </w:t>
            </w:r>
            <w:hyperlink r:id="rId75" w:history="1">
              <w:r w:rsidR="00C53818" w:rsidRPr="00FB1E9D">
                <w:rPr>
                  <w:rStyle w:val="Hipervnculo"/>
                  <w:rFonts w:ascii="Times New Roman" w:eastAsia="Times New Roman" w:hAnsi="Times New Roman" w:cs="Times New Roman"/>
                  <w:sz w:val="20"/>
                  <w:szCs w:val="20"/>
                  <w:lang w:eastAsia="es-ES"/>
                </w:rPr>
                <w:t>Resoluci</w:t>
              </w:r>
              <w:r w:rsidRPr="00FB1E9D">
                <w:rPr>
                  <w:rStyle w:val="Hipervnculo"/>
                  <w:rFonts w:ascii="Times New Roman" w:eastAsia="Times New Roman" w:hAnsi="Times New Roman" w:cs="Times New Roman"/>
                  <w:sz w:val="20"/>
                  <w:szCs w:val="20"/>
                  <w:lang w:eastAsia="es-ES"/>
                </w:rPr>
                <w:t>ón</w:t>
              </w:r>
              <w:r w:rsidR="00C53818" w:rsidRPr="00FB1E9D">
                <w:rPr>
                  <w:rStyle w:val="Hipervnculo"/>
                  <w:rFonts w:ascii="Times New Roman" w:eastAsia="Times New Roman" w:hAnsi="Times New Roman" w:cs="Times New Roman"/>
                  <w:sz w:val="20"/>
                  <w:szCs w:val="20"/>
                  <w:lang w:eastAsia="es-ES"/>
                </w:rPr>
                <w:t xml:space="preserve"> DGT 11/12/2024</w:t>
              </w:r>
            </w:hyperlink>
            <w:r w:rsidRPr="00FB1E9D">
              <w:rPr>
                <w:rFonts w:ascii="Times New Roman" w:eastAsia="Times New Roman" w:hAnsi="Times New Roman" w:cs="Times New Roman"/>
                <w:sz w:val="20"/>
                <w:szCs w:val="20"/>
                <w:lang w:eastAsia="es-ES"/>
              </w:rPr>
              <w:t xml:space="preserve"> vuelve a pronunciarse en favor de la sujeción al Impuesto sobre Donaciones del pretendido exceso de adjudicación derivado de la diferencia entre </w:t>
            </w:r>
            <w:r w:rsidR="0036120E" w:rsidRPr="00FB1E9D">
              <w:rPr>
                <w:rFonts w:ascii="Times New Roman" w:eastAsia="Times New Roman" w:hAnsi="Times New Roman" w:cs="Times New Roman"/>
                <w:sz w:val="20"/>
                <w:szCs w:val="20"/>
                <w:lang w:eastAsia="es-ES"/>
              </w:rPr>
              <w:t>el</w:t>
            </w:r>
            <w:r w:rsidRPr="00FB1E9D">
              <w:rPr>
                <w:rFonts w:ascii="Times New Roman" w:eastAsia="Times New Roman" w:hAnsi="Times New Roman" w:cs="Times New Roman"/>
                <w:sz w:val="20"/>
                <w:szCs w:val="20"/>
                <w:lang w:eastAsia="es-ES"/>
              </w:rPr>
              <w:t xml:space="preserve"> valor declarado y el valor de referencia; mientras que la </w:t>
            </w:r>
            <w:hyperlink r:id="rId76" w:history="1">
              <w:r w:rsidRPr="00FB1E9D">
                <w:rPr>
                  <w:rStyle w:val="Hipervnculo"/>
                  <w:rFonts w:ascii="Times New Roman" w:eastAsia="Times New Roman" w:hAnsi="Times New Roman" w:cs="Times New Roman"/>
                  <w:sz w:val="20"/>
                  <w:szCs w:val="20"/>
                  <w:lang w:eastAsia="es-ES"/>
                </w:rPr>
                <w:t>Resolución DGT 17/12/2024</w:t>
              </w:r>
            </w:hyperlink>
            <w:r w:rsidRPr="00FB1E9D">
              <w:rPr>
                <w:rFonts w:ascii="Times New Roman" w:eastAsia="Times New Roman" w:hAnsi="Times New Roman" w:cs="Times New Roman"/>
                <w:sz w:val="20"/>
                <w:szCs w:val="20"/>
                <w:lang w:eastAsia="es-ES"/>
              </w:rPr>
              <w:t xml:space="preserve"> </w:t>
            </w:r>
            <w:r w:rsidR="00D42783" w:rsidRPr="00FB1E9D">
              <w:rPr>
                <w:rFonts w:ascii="Times New Roman" w:eastAsia="Times New Roman" w:hAnsi="Times New Roman" w:cs="Times New Roman"/>
                <w:sz w:val="20"/>
                <w:szCs w:val="20"/>
                <w:lang w:eastAsia="es-ES"/>
              </w:rPr>
              <w:t>se limita a decir que hay que atender al valor de referencia en tales disoluciones de comunidades pero sin extraer la anterior consecuencia</w:t>
            </w:r>
            <w:r w:rsidRPr="00FB1E9D">
              <w:rPr>
                <w:rFonts w:ascii="Times New Roman" w:eastAsia="Times New Roman" w:hAnsi="Times New Roman" w:cs="Times New Roman"/>
                <w:sz w:val="20"/>
                <w:szCs w:val="20"/>
                <w:lang w:eastAsia="es-ES"/>
              </w:rPr>
              <w:t>.</w:t>
            </w:r>
          </w:p>
        </w:tc>
      </w:tr>
      <w:tr w:rsidR="00D16967" w:rsidRPr="000E48AA" w14:paraId="763B4EC2" w14:textId="77777777" w:rsidTr="00D16967">
        <w:trPr>
          <w:trHeight w:val="1259"/>
          <w:jc w:val="center"/>
        </w:trPr>
        <w:tc>
          <w:tcPr>
            <w:tcW w:w="1798" w:type="dxa"/>
            <w:vMerge w:val="restart"/>
            <w:tcBorders>
              <w:top w:val="single" w:sz="12" w:space="0" w:color="auto"/>
              <w:left w:val="single" w:sz="18" w:space="0" w:color="auto"/>
              <w:right w:val="single" w:sz="18" w:space="0" w:color="auto"/>
            </w:tcBorders>
            <w:shd w:val="clear" w:color="auto" w:fill="E7E6E6" w:themeFill="background2"/>
            <w:vAlign w:val="center"/>
          </w:tcPr>
          <w:p w14:paraId="504F90FC" w14:textId="4CC2F31E" w:rsidR="00D16967" w:rsidRDefault="00D16967" w:rsidP="003369E4">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Soluciones</w:t>
            </w:r>
          </w:p>
        </w:tc>
        <w:tc>
          <w:tcPr>
            <w:tcW w:w="6660" w:type="dxa"/>
            <w:tcBorders>
              <w:top w:val="single" w:sz="12" w:space="0" w:color="auto"/>
              <w:left w:val="single" w:sz="18" w:space="0" w:color="auto"/>
              <w:bottom w:val="single" w:sz="8" w:space="0" w:color="auto"/>
              <w:right w:val="single" w:sz="18" w:space="0" w:color="auto"/>
            </w:tcBorders>
            <w:shd w:val="clear" w:color="auto" w:fill="E7E6E6" w:themeFill="background2"/>
            <w:vAlign w:val="center"/>
          </w:tcPr>
          <w:p w14:paraId="1779EA8B" w14:textId="77777777" w:rsidR="00D16967" w:rsidRPr="00B85563" w:rsidRDefault="00D16967" w:rsidP="00B85563">
            <w:pPr>
              <w:spacing w:before="60" w:after="20" w:line="220" w:lineRule="exact"/>
              <w:jc w:val="both"/>
              <w:rPr>
                <w:rFonts w:ascii="Times New Roman" w:eastAsia="Times New Roman" w:hAnsi="Times New Roman" w:cs="Times New Roman"/>
                <w:lang w:eastAsia="es-ES"/>
              </w:rPr>
            </w:pPr>
            <w:r w:rsidRPr="00B85563">
              <w:rPr>
                <w:rFonts w:ascii="Times New Roman" w:eastAsia="Times New Roman" w:hAnsi="Times New Roman" w:cs="Times New Roman"/>
                <w:lang w:eastAsia="es-ES"/>
              </w:rPr>
              <w:t>En tales extinciones de condominio, si no se quieren problemas, puede recomendarse asignar a ambos bienes el valor de referencia más alto y tributar sólo por IAJD.</w:t>
            </w:r>
          </w:p>
          <w:p w14:paraId="3B27858D" w14:textId="3398166A" w:rsidR="00D16967" w:rsidRPr="00D16967" w:rsidRDefault="00D16967" w:rsidP="00D16967">
            <w:pPr>
              <w:spacing w:after="20" w:line="220" w:lineRule="exact"/>
              <w:jc w:val="both"/>
              <w:rPr>
                <w:rFonts w:ascii="Times New Roman" w:eastAsia="Times New Roman" w:hAnsi="Times New Roman" w:cs="Times New Roman"/>
                <w:lang w:eastAsia="es-ES"/>
              </w:rPr>
            </w:pPr>
            <w:r w:rsidRPr="00B85563">
              <w:rPr>
                <w:rFonts w:ascii="Times New Roman" w:eastAsia="Times New Roman" w:hAnsi="Times New Roman" w:cs="Times New Roman"/>
                <w:lang w:eastAsia="es-ES"/>
              </w:rPr>
              <w:t>La solución es inadecuada cuando la adjudicación se produce a uno por indivisibilidad</w:t>
            </w:r>
            <w:r>
              <w:rPr>
                <w:rFonts w:ascii="Times New Roman" w:eastAsia="Times New Roman" w:hAnsi="Times New Roman" w:cs="Times New Roman"/>
                <w:lang w:eastAsia="es-ES"/>
              </w:rPr>
              <w:t>,</w:t>
            </w:r>
            <w:r w:rsidRPr="00B85563">
              <w:rPr>
                <w:rFonts w:ascii="Times New Roman" w:eastAsia="Times New Roman" w:hAnsi="Times New Roman" w:cs="Times New Roman"/>
                <w:lang w:eastAsia="es-ES"/>
              </w:rPr>
              <w:t xml:space="preserve"> compensando en metálico a los demás, pues en tal caso, aparte de  no haber real transferencia de dinero, podría producirse una mayor ganancia en el IRPF a los salientes.</w:t>
            </w:r>
          </w:p>
        </w:tc>
      </w:tr>
      <w:tr w:rsidR="00D16967" w:rsidRPr="000E48AA" w14:paraId="1AD37CA7" w14:textId="77777777" w:rsidTr="00D16967">
        <w:trPr>
          <w:trHeight w:val="1258"/>
          <w:jc w:val="center"/>
        </w:trPr>
        <w:tc>
          <w:tcPr>
            <w:tcW w:w="1798" w:type="dxa"/>
            <w:vMerge/>
            <w:tcBorders>
              <w:left w:val="single" w:sz="18" w:space="0" w:color="auto"/>
              <w:bottom w:val="single" w:sz="12" w:space="0" w:color="auto"/>
              <w:right w:val="single" w:sz="18" w:space="0" w:color="auto"/>
            </w:tcBorders>
            <w:shd w:val="clear" w:color="auto" w:fill="E7E6E6" w:themeFill="background2"/>
            <w:vAlign w:val="center"/>
          </w:tcPr>
          <w:p w14:paraId="43A4E63A" w14:textId="77777777" w:rsidR="00D16967" w:rsidRDefault="00D16967" w:rsidP="003369E4">
            <w:pPr>
              <w:spacing w:before="60" w:after="60" w:line="20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2" w:space="0" w:color="auto"/>
              <w:right w:val="single" w:sz="18" w:space="0" w:color="auto"/>
            </w:tcBorders>
            <w:shd w:val="clear" w:color="auto" w:fill="E7E6E6" w:themeFill="background2"/>
            <w:vAlign w:val="center"/>
          </w:tcPr>
          <w:p w14:paraId="2821269F" w14:textId="641FD0BF" w:rsidR="00D16967" w:rsidRPr="00B85563" w:rsidRDefault="00D16967" w:rsidP="007B336E">
            <w:pPr>
              <w:spacing w:before="20" w:after="60" w:line="220" w:lineRule="exact"/>
              <w:jc w:val="both"/>
              <w:rPr>
                <w:rFonts w:ascii="Times New Roman" w:eastAsia="Times New Roman" w:hAnsi="Times New Roman" w:cs="Times New Roman"/>
                <w:lang w:eastAsia="es-ES"/>
              </w:rPr>
            </w:pPr>
            <w:r w:rsidRPr="00B85563">
              <w:rPr>
                <w:rFonts w:ascii="Times New Roman" w:eastAsia="Times New Roman" w:hAnsi="Times New Roman" w:cs="Times New Roman"/>
                <w:lang w:eastAsia="es-ES"/>
              </w:rPr>
              <w:t xml:space="preserve">También podría argumentarse, si interesa como mal menor, que la </w:t>
            </w:r>
            <w:hyperlink r:id="rId77" w:history="1">
              <w:r w:rsidRPr="00B85563">
                <w:rPr>
                  <w:rStyle w:val="Hipervnculo"/>
                  <w:rFonts w:ascii="Times New Roman" w:eastAsia="Times New Roman" w:hAnsi="Times New Roman" w:cs="Times New Roman"/>
                  <w:lang w:eastAsia="es-ES"/>
                </w:rPr>
                <w:t>STS 12/07/2022</w:t>
              </w:r>
            </w:hyperlink>
            <w:r w:rsidRPr="00B85563">
              <w:rPr>
                <w:rFonts w:ascii="Times New Roman" w:eastAsia="Times New Roman" w:hAnsi="Times New Roman" w:cs="Times New Roman"/>
                <w:lang w:eastAsia="es-ES"/>
              </w:rPr>
              <w:t xml:space="preserve"> traslada los excesos de adjudicación al ámbito del </w:t>
            </w:r>
            <w:hyperlink r:id="rId78" w:anchor="a7" w:history="1">
              <w:r w:rsidRPr="00B85563">
                <w:rPr>
                  <w:rStyle w:val="Hipervnculo"/>
                  <w:rFonts w:ascii="Times New Roman" w:eastAsia="Times New Roman" w:hAnsi="Times New Roman" w:cs="Times New Roman"/>
                  <w:lang w:eastAsia="es-ES"/>
                </w:rPr>
                <w:t>art. 7-2-B de la Ley del ITPO</w:t>
              </w:r>
            </w:hyperlink>
            <w:r w:rsidRPr="00B85563">
              <w:rPr>
                <w:rFonts w:ascii="Times New Roman" w:eastAsia="Times New Roman" w:hAnsi="Times New Roman" w:cs="Times New Roman"/>
                <w:lang w:eastAsia="es-ES"/>
              </w:rPr>
              <w:t>.</w:t>
            </w:r>
            <w:r>
              <w:rPr>
                <w:rFonts w:ascii="Times New Roman" w:eastAsia="Times New Roman" w:hAnsi="Times New Roman" w:cs="Times New Roman"/>
                <w:lang w:eastAsia="es-ES"/>
              </w:rPr>
              <w:t xml:space="preserve"> Y ello porque las extinciones de condominio son frecuentes entre colaterales, con tipos superiores en el Impuesto sobre Donaciones y pocos beneficios; mientras que en el ITPO los hay autonómicos variados (vivienda habitual, jóvenes, fincas rústicas, etc).</w:t>
            </w:r>
          </w:p>
        </w:tc>
      </w:tr>
      <w:tr w:rsidR="003520F9" w:rsidRPr="000E48AA" w14:paraId="480C2D84" w14:textId="77777777" w:rsidTr="003520F9">
        <w:trPr>
          <w:trHeight w:val="732"/>
          <w:jc w:val="center"/>
        </w:trPr>
        <w:tc>
          <w:tcPr>
            <w:tcW w:w="1798" w:type="dxa"/>
            <w:tcBorders>
              <w:top w:val="single" w:sz="12" w:space="0" w:color="auto"/>
              <w:left w:val="single" w:sz="18" w:space="0" w:color="auto"/>
              <w:bottom w:val="single" w:sz="18" w:space="0" w:color="auto"/>
              <w:right w:val="single" w:sz="18" w:space="0" w:color="auto"/>
            </w:tcBorders>
            <w:shd w:val="clear" w:color="auto" w:fill="FFFFFF" w:themeFill="background1"/>
            <w:vAlign w:val="center"/>
          </w:tcPr>
          <w:p w14:paraId="69501FDD" w14:textId="721734F4" w:rsidR="003520F9" w:rsidRDefault="003520F9" w:rsidP="003369E4">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Advertencia notarial</w:t>
            </w:r>
          </w:p>
        </w:tc>
        <w:tc>
          <w:tcPr>
            <w:tcW w:w="6660" w:type="dxa"/>
            <w:tcBorders>
              <w:top w:val="single" w:sz="12" w:space="0" w:color="auto"/>
              <w:left w:val="single" w:sz="18" w:space="0" w:color="auto"/>
              <w:bottom w:val="single" w:sz="18" w:space="0" w:color="auto"/>
              <w:right w:val="single" w:sz="18" w:space="0" w:color="auto"/>
            </w:tcBorders>
            <w:shd w:val="clear" w:color="auto" w:fill="FFFFFF" w:themeFill="background1"/>
            <w:vAlign w:val="center"/>
          </w:tcPr>
          <w:p w14:paraId="41E34CF5" w14:textId="2E0DA997" w:rsidR="003520F9" w:rsidRPr="00FB1E9D" w:rsidRDefault="009C4270" w:rsidP="00FB1E9D">
            <w:pPr>
              <w:spacing w:before="60" w:after="60" w:line="200" w:lineRule="exact"/>
              <w:jc w:val="both"/>
              <w:rPr>
                <w:rFonts w:ascii="Arial" w:eastAsia="Times New Roman" w:hAnsi="Arial" w:cs="Arial"/>
                <w:sz w:val="18"/>
                <w:szCs w:val="18"/>
                <w:lang w:eastAsia="es-ES"/>
              </w:rPr>
            </w:pPr>
            <w:r w:rsidRPr="00FB1E9D">
              <w:rPr>
                <w:rFonts w:ascii="Arial" w:eastAsia="Times New Roman" w:hAnsi="Arial" w:cs="Arial"/>
                <w:sz w:val="18"/>
                <w:szCs w:val="18"/>
                <w:lang w:eastAsia="es-ES"/>
              </w:rPr>
              <w:t xml:space="preserve">La </w:t>
            </w:r>
            <w:hyperlink r:id="rId79" w:history="1">
              <w:r w:rsidRPr="00FB1E9D">
                <w:rPr>
                  <w:rStyle w:val="Hipervnculo"/>
                  <w:rFonts w:ascii="Arial" w:eastAsia="Times New Roman" w:hAnsi="Arial" w:cs="Arial"/>
                  <w:sz w:val="18"/>
                  <w:szCs w:val="18"/>
                  <w:lang w:eastAsia="es-ES"/>
                </w:rPr>
                <w:t xml:space="preserve">Resolución </w:t>
              </w:r>
              <w:r w:rsidRPr="00FB1E9D">
                <w:rPr>
                  <w:rStyle w:val="Hipervnculo"/>
                  <w:rFonts w:ascii="Arial" w:hAnsi="Arial" w:cs="Arial"/>
                  <w:sz w:val="18"/>
                  <w:szCs w:val="18"/>
                </w:rPr>
                <w:t>de la</w:t>
              </w:r>
              <w:r w:rsidRPr="00FB1E9D">
                <w:rPr>
                  <w:rStyle w:val="Hipervnculo"/>
                  <w:rFonts w:ascii="Arial" w:eastAsia="Times New Roman" w:hAnsi="Arial" w:cs="Arial"/>
                  <w:sz w:val="18"/>
                  <w:szCs w:val="18"/>
                  <w:lang w:eastAsia="es-ES"/>
                </w:rPr>
                <w:t xml:space="preserve"> Di</w:t>
              </w:r>
              <w:r w:rsidRPr="00FB1E9D">
                <w:rPr>
                  <w:rStyle w:val="Hipervnculo"/>
                  <w:rFonts w:ascii="Arial" w:hAnsi="Arial" w:cs="Arial"/>
                  <w:sz w:val="18"/>
                  <w:szCs w:val="18"/>
                </w:rPr>
                <w:t>rección General de Tributos de 28 de enero de 2022</w:t>
              </w:r>
            </w:hyperlink>
            <w:r w:rsidRPr="00FB1E9D">
              <w:rPr>
                <w:rStyle w:val="Hipervnculo"/>
                <w:rFonts w:ascii="Arial" w:eastAsia="Times New Roman" w:hAnsi="Arial" w:cs="Arial"/>
                <w:sz w:val="18"/>
                <w:szCs w:val="18"/>
                <w:lang w:eastAsia="es-ES"/>
              </w:rPr>
              <w:t xml:space="preserve"> </w:t>
            </w:r>
            <w:r w:rsidRPr="00FB1E9D">
              <w:rPr>
                <w:rFonts w:ascii="Arial" w:eastAsia="Times New Roman" w:hAnsi="Arial" w:cs="Arial"/>
                <w:sz w:val="18"/>
                <w:szCs w:val="18"/>
                <w:lang w:eastAsia="es-ES"/>
              </w:rPr>
              <w:t xml:space="preserve">entendió que había exceso de adjudicación sujeto al Impuesto sobre Donaciones por la mitad de la diferencia entre el valor declarado y el de referencia. </w:t>
            </w:r>
            <w:r w:rsidR="00054EF6" w:rsidRPr="00FB1E9D">
              <w:rPr>
                <w:rFonts w:ascii="Arial" w:eastAsia="Times New Roman" w:hAnsi="Arial" w:cs="Arial"/>
                <w:sz w:val="18"/>
                <w:szCs w:val="18"/>
                <w:lang w:eastAsia="es-ES"/>
              </w:rPr>
              <w:t xml:space="preserve">Por </w:t>
            </w:r>
            <w:r w:rsidR="00826A10" w:rsidRPr="00FB1E9D">
              <w:rPr>
                <w:rFonts w:ascii="Arial" w:eastAsia="Times New Roman" w:hAnsi="Arial" w:cs="Arial"/>
                <w:sz w:val="18"/>
                <w:szCs w:val="18"/>
                <w:lang w:eastAsia="es-ES"/>
              </w:rPr>
              <w:t>el</w:t>
            </w:r>
            <w:r w:rsidR="00054EF6" w:rsidRPr="00FB1E9D">
              <w:rPr>
                <w:rFonts w:ascii="Arial" w:eastAsia="Times New Roman" w:hAnsi="Arial" w:cs="Arial"/>
                <w:sz w:val="18"/>
                <w:szCs w:val="18"/>
                <w:lang w:eastAsia="es-ES"/>
              </w:rPr>
              <w:t xml:space="preserve"> contrario</w:t>
            </w:r>
            <w:r w:rsidRPr="00FB1E9D">
              <w:rPr>
                <w:rFonts w:ascii="Arial" w:eastAsia="Times New Roman" w:hAnsi="Arial" w:cs="Arial"/>
                <w:sz w:val="18"/>
                <w:szCs w:val="18"/>
                <w:lang w:eastAsia="es-ES"/>
              </w:rPr>
              <w:t xml:space="preserve">, la </w:t>
            </w:r>
            <w:hyperlink r:id="rId80" w:history="1">
              <w:r w:rsidRPr="00FB1E9D">
                <w:rPr>
                  <w:rStyle w:val="Hipervnculo"/>
                  <w:rFonts w:ascii="Arial" w:eastAsia="Times New Roman" w:hAnsi="Arial" w:cs="Arial"/>
                  <w:sz w:val="18"/>
                  <w:szCs w:val="18"/>
                  <w:lang w:eastAsia="es-ES"/>
                </w:rPr>
                <w:t xml:space="preserve">Resolución </w:t>
              </w:r>
              <w:r w:rsidRPr="00FB1E9D">
                <w:rPr>
                  <w:rStyle w:val="Hipervnculo"/>
                  <w:rFonts w:ascii="Arial" w:hAnsi="Arial" w:cs="Arial"/>
                  <w:sz w:val="18"/>
                  <w:szCs w:val="18"/>
                </w:rPr>
                <w:t>de la Dirección General de Tributos de 18 de septiembre de 2023</w:t>
              </w:r>
            </w:hyperlink>
            <w:r w:rsidRPr="00FB1E9D">
              <w:rPr>
                <w:rStyle w:val="Hipervnculo"/>
                <w:rFonts w:ascii="Arial" w:eastAsia="Times New Roman" w:hAnsi="Arial" w:cs="Arial"/>
                <w:sz w:val="18"/>
                <w:szCs w:val="18"/>
                <w:lang w:eastAsia="es-ES"/>
              </w:rPr>
              <w:t xml:space="preserve"> </w:t>
            </w:r>
            <w:r w:rsidRPr="00FB1E9D">
              <w:rPr>
                <w:rFonts w:ascii="Arial" w:eastAsia="Times New Roman" w:hAnsi="Arial" w:cs="Arial"/>
                <w:sz w:val="18"/>
                <w:szCs w:val="18"/>
                <w:lang w:eastAsia="es-ES"/>
              </w:rPr>
              <w:t>se limita a decir que la base imponible del Impuesto sobre Actos Jurídicos Documentados es el valor de referencia correspondiente a los salientes, pero nada dice acerca de si la diferencia entre el valor declarado y el de referencia queda sujeta al Impuesto sobre Donaciones.</w:t>
            </w:r>
            <w:r w:rsidR="00FB1E9D" w:rsidRPr="00FB1E9D">
              <w:rPr>
                <w:rFonts w:ascii="Arial" w:eastAsia="Times New Roman" w:hAnsi="Arial" w:cs="Arial"/>
                <w:sz w:val="18"/>
                <w:szCs w:val="18"/>
                <w:lang w:eastAsia="es-ES"/>
              </w:rPr>
              <w:t xml:space="preserve"> De nuevo la </w:t>
            </w:r>
            <w:hyperlink r:id="rId81" w:history="1">
              <w:r w:rsidR="00FB1E9D" w:rsidRPr="00FB1E9D">
                <w:rPr>
                  <w:rStyle w:val="Hipervnculo"/>
                  <w:rFonts w:ascii="Arial" w:eastAsia="Times New Roman" w:hAnsi="Arial" w:cs="Arial"/>
                  <w:sz w:val="18"/>
                  <w:szCs w:val="18"/>
                  <w:lang w:eastAsia="es-ES"/>
                </w:rPr>
                <w:t xml:space="preserve">Resolución </w:t>
              </w:r>
              <w:r w:rsidR="00FB1E9D" w:rsidRPr="00FB1E9D">
                <w:rPr>
                  <w:rStyle w:val="Hipervnculo"/>
                  <w:rFonts w:ascii="Arial" w:hAnsi="Arial" w:cs="Arial"/>
                  <w:sz w:val="18"/>
                  <w:szCs w:val="18"/>
                </w:rPr>
                <w:t xml:space="preserve">de la Dirección General de Tributos de 11 de diciembre de </w:t>
              </w:r>
              <w:r w:rsidR="00FB1E9D" w:rsidRPr="00FB1E9D">
                <w:rPr>
                  <w:rStyle w:val="Hipervnculo"/>
                  <w:rFonts w:ascii="Arial" w:eastAsia="Times New Roman" w:hAnsi="Arial" w:cs="Arial"/>
                  <w:sz w:val="18"/>
                  <w:szCs w:val="18"/>
                  <w:lang w:eastAsia="es-ES"/>
                </w:rPr>
                <w:t>2024</w:t>
              </w:r>
            </w:hyperlink>
            <w:r w:rsidR="00FB1E9D" w:rsidRPr="00FB1E9D">
              <w:rPr>
                <w:rFonts w:ascii="Arial" w:eastAsia="Times New Roman" w:hAnsi="Arial" w:cs="Arial"/>
                <w:sz w:val="18"/>
                <w:szCs w:val="18"/>
                <w:lang w:eastAsia="es-ES"/>
              </w:rPr>
              <w:t xml:space="preserve"> vuelve a pronunciarse en favor de la sujeción al Impuesto sobre Donaciones del pretendido exceso de adjudicación derivado de la diferencia entre el valor declarado y el valor de referencia; mientras que la </w:t>
            </w:r>
            <w:hyperlink r:id="rId82" w:history="1">
              <w:r w:rsidR="00FB1E9D" w:rsidRPr="00FB1E9D">
                <w:rPr>
                  <w:rStyle w:val="Hipervnculo"/>
                  <w:rFonts w:ascii="Arial" w:eastAsia="Times New Roman" w:hAnsi="Arial" w:cs="Arial"/>
                  <w:sz w:val="18"/>
                  <w:szCs w:val="18"/>
                  <w:lang w:eastAsia="es-ES"/>
                </w:rPr>
                <w:t xml:space="preserve">Resolución </w:t>
              </w:r>
              <w:r w:rsidR="00FB1E9D" w:rsidRPr="00FB1E9D">
                <w:rPr>
                  <w:rStyle w:val="Hipervnculo"/>
                  <w:rFonts w:ascii="Arial" w:hAnsi="Arial" w:cs="Arial"/>
                  <w:sz w:val="18"/>
                  <w:szCs w:val="18"/>
                </w:rPr>
                <w:t>de la Dirección General de Tributos de 17 de diciembre de 2024</w:t>
              </w:r>
            </w:hyperlink>
            <w:r w:rsidR="00FB1E9D" w:rsidRPr="00FB1E9D">
              <w:rPr>
                <w:rFonts w:ascii="Arial" w:eastAsia="Times New Roman" w:hAnsi="Arial" w:cs="Arial"/>
                <w:sz w:val="18"/>
                <w:szCs w:val="18"/>
                <w:lang w:eastAsia="es-ES"/>
              </w:rPr>
              <w:t xml:space="preserve"> se limita a decir que hay que atender al valor de referencia en tales disoluciones de comunidades pero sin extraer la anterior consecuencia.</w:t>
            </w:r>
          </w:p>
        </w:tc>
      </w:tr>
      <w:bookmarkEnd w:id="6"/>
    </w:tbl>
    <w:p w14:paraId="3A5BC410" w14:textId="77777777" w:rsidR="0046394C" w:rsidRDefault="0046394C" w:rsidP="00012EDE"/>
    <w:sectPr w:rsidR="0046394C">
      <w:headerReference w:type="default" r:id="rId83"/>
      <w:footerReference w:type="default" r:id="rId8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F1499" w14:textId="77777777" w:rsidR="007916E4" w:rsidRDefault="007916E4" w:rsidP="001922E5">
      <w:pPr>
        <w:spacing w:after="0" w:line="240" w:lineRule="auto"/>
      </w:pPr>
      <w:r>
        <w:separator/>
      </w:r>
    </w:p>
  </w:endnote>
  <w:endnote w:type="continuationSeparator" w:id="0">
    <w:p w14:paraId="79C074DF" w14:textId="77777777" w:rsidR="007916E4" w:rsidRDefault="007916E4" w:rsidP="0019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C050" w14:textId="77777777" w:rsidR="007916E4" w:rsidRPr="00674662" w:rsidRDefault="007916E4" w:rsidP="005B3278">
    <w:pPr>
      <w:pStyle w:val="Piedepgina"/>
      <w:jc w:val="center"/>
      <w:rPr>
        <w:color w:val="767171"/>
        <w:lang w:val="es-ES_tradnl"/>
      </w:rPr>
    </w:pPr>
    <w:r w:rsidRPr="00674662">
      <w:rPr>
        <w:color w:val="767171"/>
        <w:lang w:val="es-ES_tradnl"/>
      </w:rPr>
      <w:t>Vicente Martorell, notario</w:t>
    </w:r>
  </w:p>
  <w:p w14:paraId="696AA6C9" w14:textId="3FD67562" w:rsidR="007916E4" w:rsidRPr="00674662" w:rsidRDefault="00856359" w:rsidP="005B3278">
    <w:pPr>
      <w:pStyle w:val="Piedepgina"/>
      <w:jc w:val="center"/>
      <w:rPr>
        <w:color w:val="767171"/>
        <w:lang w:val="es-ES_tradnl"/>
      </w:rPr>
    </w:pPr>
    <w:r>
      <w:rPr>
        <w:color w:val="767171"/>
        <w:lang w:val="es-ES_tradnl"/>
      </w:rPr>
      <w:t>12</w:t>
    </w:r>
    <w:r w:rsidR="007916E4">
      <w:rPr>
        <w:color w:val="767171"/>
        <w:lang w:val="es-ES_tradnl"/>
      </w:rPr>
      <w:t xml:space="preserve"> de </w:t>
    </w:r>
    <w:r>
      <w:rPr>
        <w:color w:val="767171"/>
        <w:lang w:val="es-ES_tradnl"/>
      </w:rPr>
      <w:t>mayo</w:t>
    </w:r>
    <w:r w:rsidR="007916E4">
      <w:rPr>
        <w:color w:val="767171"/>
        <w:lang w:val="es-ES_tradnl"/>
      </w:rPr>
      <w:t xml:space="preserve"> de 202</w:t>
    </w:r>
    <w:r w:rsidR="0094273A">
      <w:rPr>
        <w:color w:val="767171"/>
        <w:lang w:val="es-ES_tradn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0982C" w14:textId="77777777" w:rsidR="007916E4" w:rsidRDefault="007916E4" w:rsidP="001922E5">
      <w:pPr>
        <w:spacing w:after="0" w:line="240" w:lineRule="auto"/>
      </w:pPr>
      <w:r>
        <w:separator/>
      </w:r>
    </w:p>
  </w:footnote>
  <w:footnote w:type="continuationSeparator" w:id="0">
    <w:p w14:paraId="5A3B4C96" w14:textId="77777777" w:rsidR="007916E4" w:rsidRDefault="007916E4" w:rsidP="00192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1FF7F" w14:textId="77777777" w:rsidR="007916E4" w:rsidRDefault="007916E4">
    <w:pPr>
      <w:pStyle w:val="Encabezado"/>
      <w:jc w:val="right"/>
    </w:pPr>
    <w:r w:rsidRPr="002358F5">
      <w:rPr>
        <w:bCs/>
      </w:rPr>
      <w:fldChar w:fldCharType="begin"/>
    </w:r>
    <w:r w:rsidRPr="002358F5">
      <w:rPr>
        <w:bCs/>
      </w:rPr>
      <w:instrText>PAGE</w:instrText>
    </w:r>
    <w:r w:rsidRPr="002358F5">
      <w:rPr>
        <w:bCs/>
      </w:rPr>
      <w:fldChar w:fldCharType="separate"/>
    </w:r>
    <w:r w:rsidR="00076ABE">
      <w:rPr>
        <w:bCs/>
        <w:noProof/>
      </w:rPr>
      <w:t>5</w:t>
    </w:r>
    <w:r w:rsidRPr="002358F5">
      <w:rPr>
        <w:bCs/>
      </w:rPr>
      <w:fldChar w:fldCharType="end"/>
    </w:r>
    <w:r w:rsidRPr="002358F5">
      <w:t xml:space="preserve"> de </w:t>
    </w:r>
    <w:r w:rsidRPr="002358F5">
      <w:rPr>
        <w:bCs/>
      </w:rPr>
      <w:fldChar w:fldCharType="begin"/>
    </w:r>
    <w:r w:rsidRPr="002358F5">
      <w:rPr>
        <w:bCs/>
      </w:rPr>
      <w:instrText>NUMPAGES</w:instrText>
    </w:r>
    <w:r w:rsidRPr="002358F5">
      <w:rPr>
        <w:bCs/>
      </w:rPr>
      <w:fldChar w:fldCharType="separate"/>
    </w:r>
    <w:r w:rsidR="00076ABE">
      <w:rPr>
        <w:bCs/>
        <w:noProof/>
      </w:rPr>
      <w:t>5</w:t>
    </w:r>
    <w:r w:rsidRPr="002358F5">
      <w:rPr>
        <w:bCs/>
      </w:rPr>
      <w:fldChar w:fldCharType="end"/>
    </w:r>
  </w:p>
  <w:p w14:paraId="4B835C70" w14:textId="77777777" w:rsidR="007916E4" w:rsidRDefault="007916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21E6192"/>
    <w:lvl w:ilvl="0">
      <w:numFmt w:val="bullet"/>
      <w:lvlText w:val="*"/>
      <w:lvlJc w:val="left"/>
    </w:lvl>
  </w:abstractNum>
  <w:abstractNum w:abstractNumId="1" w15:restartNumberingAfterBreak="0">
    <w:nsid w:val="28CC5466"/>
    <w:multiLevelType w:val="hybridMultilevel"/>
    <w:tmpl w:val="1EBC56BC"/>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354F561B"/>
    <w:multiLevelType w:val="hybridMultilevel"/>
    <w:tmpl w:val="053ABAC2"/>
    <w:lvl w:ilvl="0" w:tplc="5184CF7A">
      <w:start w:val="3"/>
      <w:numFmt w:val="bullet"/>
      <w:lvlText w:val="-"/>
      <w:lvlJc w:val="left"/>
      <w:pPr>
        <w:ind w:left="718" w:hanging="360"/>
      </w:pPr>
      <w:rPr>
        <w:rFonts w:ascii="Times New Roman" w:eastAsia="Times New Roman" w:hAnsi="Times New Roman" w:cs="Times New Roman"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3" w15:restartNumberingAfterBreak="0">
    <w:nsid w:val="756C04CE"/>
    <w:multiLevelType w:val="hybridMultilevel"/>
    <w:tmpl w:val="639E2014"/>
    <w:lvl w:ilvl="0" w:tplc="EC2CF45E">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203444317">
    <w:abstractNumId w:val="1"/>
  </w:num>
  <w:num w:numId="2" w16cid:durableId="62024685">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16cid:durableId="346561162">
    <w:abstractNumId w:val="3"/>
  </w:num>
  <w:num w:numId="4" w16cid:durableId="461844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0"/>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AA"/>
    <w:rsid w:val="00001F51"/>
    <w:rsid w:val="00003418"/>
    <w:rsid w:val="00003C29"/>
    <w:rsid w:val="0000774F"/>
    <w:rsid w:val="00011907"/>
    <w:rsid w:val="0001229B"/>
    <w:rsid w:val="00012EDE"/>
    <w:rsid w:val="000340E4"/>
    <w:rsid w:val="000347FF"/>
    <w:rsid w:val="00035AC0"/>
    <w:rsid w:val="000423B2"/>
    <w:rsid w:val="0004726A"/>
    <w:rsid w:val="00053603"/>
    <w:rsid w:val="00054EF6"/>
    <w:rsid w:val="0005683F"/>
    <w:rsid w:val="00056B21"/>
    <w:rsid w:val="00057111"/>
    <w:rsid w:val="000572BE"/>
    <w:rsid w:val="0006270B"/>
    <w:rsid w:val="00064901"/>
    <w:rsid w:val="000665FF"/>
    <w:rsid w:val="0007593D"/>
    <w:rsid w:val="00075DBA"/>
    <w:rsid w:val="000768C0"/>
    <w:rsid w:val="00076ABE"/>
    <w:rsid w:val="00084B6B"/>
    <w:rsid w:val="000854BD"/>
    <w:rsid w:val="00086276"/>
    <w:rsid w:val="00086531"/>
    <w:rsid w:val="00090E7F"/>
    <w:rsid w:val="00090EA5"/>
    <w:rsid w:val="00094C35"/>
    <w:rsid w:val="00094CCA"/>
    <w:rsid w:val="00097AC8"/>
    <w:rsid w:val="000A2DA0"/>
    <w:rsid w:val="000A7CA0"/>
    <w:rsid w:val="000B2022"/>
    <w:rsid w:val="000B3C0F"/>
    <w:rsid w:val="000C40C5"/>
    <w:rsid w:val="000C56BF"/>
    <w:rsid w:val="000C603F"/>
    <w:rsid w:val="000D1165"/>
    <w:rsid w:val="000D2115"/>
    <w:rsid w:val="000D27B8"/>
    <w:rsid w:val="000E1C6B"/>
    <w:rsid w:val="000E24AD"/>
    <w:rsid w:val="000E2F0C"/>
    <w:rsid w:val="000E3AB7"/>
    <w:rsid w:val="000E48AA"/>
    <w:rsid w:val="000E56DA"/>
    <w:rsid w:val="000F15E6"/>
    <w:rsid w:val="000F20C9"/>
    <w:rsid w:val="000F2750"/>
    <w:rsid w:val="000F3765"/>
    <w:rsid w:val="0010040E"/>
    <w:rsid w:val="00103E84"/>
    <w:rsid w:val="0011234D"/>
    <w:rsid w:val="00113CFC"/>
    <w:rsid w:val="00114D2E"/>
    <w:rsid w:val="001168C5"/>
    <w:rsid w:val="00120B82"/>
    <w:rsid w:val="0012164F"/>
    <w:rsid w:val="001245B3"/>
    <w:rsid w:val="001279B9"/>
    <w:rsid w:val="00130453"/>
    <w:rsid w:val="001319FD"/>
    <w:rsid w:val="001333B1"/>
    <w:rsid w:val="00134F99"/>
    <w:rsid w:val="00137048"/>
    <w:rsid w:val="001370C6"/>
    <w:rsid w:val="00141777"/>
    <w:rsid w:val="001424D2"/>
    <w:rsid w:val="00150FA7"/>
    <w:rsid w:val="00151DF5"/>
    <w:rsid w:val="0015337A"/>
    <w:rsid w:val="001620B7"/>
    <w:rsid w:val="00163C25"/>
    <w:rsid w:val="001728AE"/>
    <w:rsid w:val="001728E8"/>
    <w:rsid w:val="00173715"/>
    <w:rsid w:val="00173E45"/>
    <w:rsid w:val="00174613"/>
    <w:rsid w:val="00175802"/>
    <w:rsid w:val="00175CB8"/>
    <w:rsid w:val="00177499"/>
    <w:rsid w:val="00181DE7"/>
    <w:rsid w:val="0018565C"/>
    <w:rsid w:val="00185DF7"/>
    <w:rsid w:val="001922E5"/>
    <w:rsid w:val="00193857"/>
    <w:rsid w:val="00193F9E"/>
    <w:rsid w:val="00196178"/>
    <w:rsid w:val="001964D4"/>
    <w:rsid w:val="001A4445"/>
    <w:rsid w:val="001A4A0F"/>
    <w:rsid w:val="001A53AB"/>
    <w:rsid w:val="001B1D21"/>
    <w:rsid w:val="001B32EC"/>
    <w:rsid w:val="001B345D"/>
    <w:rsid w:val="001B3C35"/>
    <w:rsid w:val="001B4D6A"/>
    <w:rsid w:val="001B6922"/>
    <w:rsid w:val="001B72CC"/>
    <w:rsid w:val="001C16F7"/>
    <w:rsid w:val="001C44F5"/>
    <w:rsid w:val="001C4F3B"/>
    <w:rsid w:val="001C5F40"/>
    <w:rsid w:val="001C63F1"/>
    <w:rsid w:val="001C6F25"/>
    <w:rsid w:val="001C74AE"/>
    <w:rsid w:val="001D075A"/>
    <w:rsid w:val="001D0B89"/>
    <w:rsid w:val="001D0BA5"/>
    <w:rsid w:val="001D342C"/>
    <w:rsid w:val="001D43F3"/>
    <w:rsid w:val="001D4BA7"/>
    <w:rsid w:val="001D4C6B"/>
    <w:rsid w:val="001D4E7F"/>
    <w:rsid w:val="001D6A17"/>
    <w:rsid w:val="001D7F67"/>
    <w:rsid w:val="001E5A57"/>
    <w:rsid w:val="001E6A23"/>
    <w:rsid w:val="001E6ACB"/>
    <w:rsid w:val="001F08FC"/>
    <w:rsid w:val="001F1754"/>
    <w:rsid w:val="001F739B"/>
    <w:rsid w:val="0020020C"/>
    <w:rsid w:val="002051D7"/>
    <w:rsid w:val="00211243"/>
    <w:rsid w:val="002115BE"/>
    <w:rsid w:val="002123DD"/>
    <w:rsid w:val="00212469"/>
    <w:rsid w:val="0021397F"/>
    <w:rsid w:val="00217372"/>
    <w:rsid w:val="00221326"/>
    <w:rsid w:val="00223C6E"/>
    <w:rsid w:val="0022570A"/>
    <w:rsid w:val="002277F0"/>
    <w:rsid w:val="002315B8"/>
    <w:rsid w:val="00233E88"/>
    <w:rsid w:val="00236C61"/>
    <w:rsid w:val="0024312A"/>
    <w:rsid w:val="002456B0"/>
    <w:rsid w:val="00246E67"/>
    <w:rsid w:val="00252625"/>
    <w:rsid w:val="00257A28"/>
    <w:rsid w:val="00260ECE"/>
    <w:rsid w:val="00261020"/>
    <w:rsid w:val="00261597"/>
    <w:rsid w:val="00263ECB"/>
    <w:rsid w:val="00271104"/>
    <w:rsid w:val="002730F8"/>
    <w:rsid w:val="00281748"/>
    <w:rsid w:val="00283FC9"/>
    <w:rsid w:val="00287E3E"/>
    <w:rsid w:val="00291F29"/>
    <w:rsid w:val="00296F17"/>
    <w:rsid w:val="002A37C0"/>
    <w:rsid w:val="002A5092"/>
    <w:rsid w:val="002B0350"/>
    <w:rsid w:val="002B0ECA"/>
    <w:rsid w:val="002B2348"/>
    <w:rsid w:val="002B42B4"/>
    <w:rsid w:val="002B4BFA"/>
    <w:rsid w:val="002C0427"/>
    <w:rsid w:val="002C19EE"/>
    <w:rsid w:val="002C20D2"/>
    <w:rsid w:val="002C5252"/>
    <w:rsid w:val="002D19E2"/>
    <w:rsid w:val="002D2DCB"/>
    <w:rsid w:val="002D6E24"/>
    <w:rsid w:val="002E077E"/>
    <w:rsid w:val="002E0BE5"/>
    <w:rsid w:val="002E3290"/>
    <w:rsid w:val="002E375A"/>
    <w:rsid w:val="002E64EB"/>
    <w:rsid w:val="002E65E7"/>
    <w:rsid w:val="002E7177"/>
    <w:rsid w:val="002F0E6D"/>
    <w:rsid w:val="002F13E6"/>
    <w:rsid w:val="0030022A"/>
    <w:rsid w:val="0030148B"/>
    <w:rsid w:val="00301755"/>
    <w:rsid w:val="003027D3"/>
    <w:rsid w:val="00302A88"/>
    <w:rsid w:val="003068F1"/>
    <w:rsid w:val="0030763B"/>
    <w:rsid w:val="0031007A"/>
    <w:rsid w:val="00310FBC"/>
    <w:rsid w:val="00314CDD"/>
    <w:rsid w:val="0031624B"/>
    <w:rsid w:val="00317F61"/>
    <w:rsid w:val="0032041F"/>
    <w:rsid w:val="00320EBA"/>
    <w:rsid w:val="00321CF6"/>
    <w:rsid w:val="00330594"/>
    <w:rsid w:val="003331AF"/>
    <w:rsid w:val="00336548"/>
    <w:rsid w:val="00340E09"/>
    <w:rsid w:val="003417DC"/>
    <w:rsid w:val="003424ED"/>
    <w:rsid w:val="00343DCE"/>
    <w:rsid w:val="00344107"/>
    <w:rsid w:val="00344B3D"/>
    <w:rsid w:val="0034668F"/>
    <w:rsid w:val="003500DB"/>
    <w:rsid w:val="00350B90"/>
    <w:rsid w:val="003520F9"/>
    <w:rsid w:val="00353730"/>
    <w:rsid w:val="003557C1"/>
    <w:rsid w:val="0035592F"/>
    <w:rsid w:val="003578F2"/>
    <w:rsid w:val="0036120E"/>
    <w:rsid w:val="003635E3"/>
    <w:rsid w:val="0036599A"/>
    <w:rsid w:val="00371EBF"/>
    <w:rsid w:val="00372E27"/>
    <w:rsid w:val="003730D7"/>
    <w:rsid w:val="003740EB"/>
    <w:rsid w:val="003752D4"/>
    <w:rsid w:val="00375F16"/>
    <w:rsid w:val="00390874"/>
    <w:rsid w:val="0039381B"/>
    <w:rsid w:val="003A2C70"/>
    <w:rsid w:val="003A2E93"/>
    <w:rsid w:val="003A39F1"/>
    <w:rsid w:val="003A5DE6"/>
    <w:rsid w:val="003B277F"/>
    <w:rsid w:val="003B3B4F"/>
    <w:rsid w:val="003B4C83"/>
    <w:rsid w:val="003C059E"/>
    <w:rsid w:val="003C443E"/>
    <w:rsid w:val="003D012F"/>
    <w:rsid w:val="003D1D64"/>
    <w:rsid w:val="003D3601"/>
    <w:rsid w:val="003D3EEE"/>
    <w:rsid w:val="003D6386"/>
    <w:rsid w:val="003E3703"/>
    <w:rsid w:val="003E4DFA"/>
    <w:rsid w:val="003E7E2E"/>
    <w:rsid w:val="003F25D1"/>
    <w:rsid w:val="00403894"/>
    <w:rsid w:val="00417A45"/>
    <w:rsid w:val="00425546"/>
    <w:rsid w:val="0042583A"/>
    <w:rsid w:val="00431B81"/>
    <w:rsid w:val="00433504"/>
    <w:rsid w:val="00433B00"/>
    <w:rsid w:val="00435A35"/>
    <w:rsid w:val="00435E6D"/>
    <w:rsid w:val="00436DEC"/>
    <w:rsid w:val="00437ABC"/>
    <w:rsid w:val="00437FF8"/>
    <w:rsid w:val="00440496"/>
    <w:rsid w:val="0044558A"/>
    <w:rsid w:val="004572B2"/>
    <w:rsid w:val="004616FF"/>
    <w:rsid w:val="0046394C"/>
    <w:rsid w:val="00464DD3"/>
    <w:rsid w:val="0046562D"/>
    <w:rsid w:val="00466008"/>
    <w:rsid w:val="004700E6"/>
    <w:rsid w:val="00471567"/>
    <w:rsid w:val="00471772"/>
    <w:rsid w:val="00475598"/>
    <w:rsid w:val="00476F3F"/>
    <w:rsid w:val="0048159E"/>
    <w:rsid w:val="00484C26"/>
    <w:rsid w:val="004854EF"/>
    <w:rsid w:val="004859C4"/>
    <w:rsid w:val="004908FF"/>
    <w:rsid w:val="00497756"/>
    <w:rsid w:val="004A0933"/>
    <w:rsid w:val="004A34A8"/>
    <w:rsid w:val="004A3A2D"/>
    <w:rsid w:val="004A61DF"/>
    <w:rsid w:val="004A6958"/>
    <w:rsid w:val="004B2233"/>
    <w:rsid w:val="004B6662"/>
    <w:rsid w:val="004B714C"/>
    <w:rsid w:val="004C13FE"/>
    <w:rsid w:val="004C1890"/>
    <w:rsid w:val="004D24A9"/>
    <w:rsid w:val="004D2696"/>
    <w:rsid w:val="004D364C"/>
    <w:rsid w:val="004D6956"/>
    <w:rsid w:val="004D7375"/>
    <w:rsid w:val="004D7D05"/>
    <w:rsid w:val="004E587A"/>
    <w:rsid w:val="004F1895"/>
    <w:rsid w:val="004F6CB7"/>
    <w:rsid w:val="00507C69"/>
    <w:rsid w:val="00514F69"/>
    <w:rsid w:val="005200B2"/>
    <w:rsid w:val="00521375"/>
    <w:rsid w:val="00522F27"/>
    <w:rsid w:val="00523F1D"/>
    <w:rsid w:val="0052551E"/>
    <w:rsid w:val="00525B6A"/>
    <w:rsid w:val="00527C36"/>
    <w:rsid w:val="005307EE"/>
    <w:rsid w:val="00530AFD"/>
    <w:rsid w:val="00532A15"/>
    <w:rsid w:val="005374B3"/>
    <w:rsid w:val="00541197"/>
    <w:rsid w:val="00551C07"/>
    <w:rsid w:val="00553B2D"/>
    <w:rsid w:val="005553BB"/>
    <w:rsid w:val="0055646F"/>
    <w:rsid w:val="0055777E"/>
    <w:rsid w:val="00557E94"/>
    <w:rsid w:val="00564989"/>
    <w:rsid w:val="00565A7B"/>
    <w:rsid w:val="005671EF"/>
    <w:rsid w:val="0056799B"/>
    <w:rsid w:val="00570EEC"/>
    <w:rsid w:val="0057379C"/>
    <w:rsid w:val="00574B0D"/>
    <w:rsid w:val="00574CA6"/>
    <w:rsid w:val="00575DDD"/>
    <w:rsid w:val="0059012B"/>
    <w:rsid w:val="005932A3"/>
    <w:rsid w:val="00593A8C"/>
    <w:rsid w:val="0059406A"/>
    <w:rsid w:val="0059424E"/>
    <w:rsid w:val="00595056"/>
    <w:rsid w:val="005A009E"/>
    <w:rsid w:val="005A7CB1"/>
    <w:rsid w:val="005B1232"/>
    <w:rsid w:val="005B3278"/>
    <w:rsid w:val="005B4274"/>
    <w:rsid w:val="005C068C"/>
    <w:rsid w:val="005C1CAC"/>
    <w:rsid w:val="005C33CF"/>
    <w:rsid w:val="005C4D40"/>
    <w:rsid w:val="005C536C"/>
    <w:rsid w:val="005C7F32"/>
    <w:rsid w:val="005D45AE"/>
    <w:rsid w:val="005D515B"/>
    <w:rsid w:val="005D60C8"/>
    <w:rsid w:val="005D74FE"/>
    <w:rsid w:val="005D79A6"/>
    <w:rsid w:val="005E0A61"/>
    <w:rsid w:val="005E1492"/>
    <w:rsid w:val="005E1A53"/>
    <w:rsid w:val="005E2A3C"/>
    <w:rsid w:val="005E3CBD"/>
    <w:rsid w:val="005E715A"/>
    <w:rsid w:val="005E76BA"/>
    <w:rsid w:val="005F03A9"/>
    <w:rsid w:val="005F1967"/>
    <w:rsid w:val="006019DF"/>
    <w:rsid w:val="00602C34"/>
    <w:rsid w:val="006035CC"/>
    <w:rsid w:val="006041AE"/>
    <w:rsid w:val="006043D1"/>
    <w:rsid w:val="00605BCE"/>
    <w:rsid w:val="00610614"/>
    <w:rsid w:val="00610BF0"/>
    <w:rsid w:val="00610E21"/>
    <w:rsid w:val="0061370F"/>
    <w:rsid w:val="00614BAC"/>
    <w:rsid w:val="00615678"/>
    <w:rsid w:val="00617A7E"/>
    <w:rsid w:val="00621082"/>
    <w:rsid w:val="0062495F"/>
    <w:rsid w:val="0062680D"/>
    <w:rsid w:val="00630C99"/>
    <w:rsid w:val="00631A69"/>
    <w:rsid w:val="00631DD3"/>
    <w:rsid w:val="00631F96"/>
    <w:rsid w:val="00633897"/>
    <w:rsid w:val="006344A1"/>
    <w:rsid w:val="0063630A"/>
    <w:rsid w:val="006402E6"/>
    <w:rsid w:val="006414A0"/>
    <w:rsid w:val="006424FC"/>
    <w:rsid w:val="00647F4A"/>
    <w:rsid w:val="00655879"/>
    <w:rsid w:val="006570B8"/>
    <w:rsid w:val="0065751B"/>
    <w:rsid w:val="00661AB4"/>
    <w:rsid w:val="00667D80"/>
    <w:rsid w:val="00670C89"/>
    <w:rsid w:val="00672BA3"/>
    <w:rsid w:val="00675D98"/>
    <w:rsid w:val="00682428"/>
    <w:rsid w:val="00683359"/>
    <w:rsid w:val="00684174"/>
    <w:rsid w:val="00691813"/>
    <w:rsid w:val="006919A6"/>
    <w:rsid w:val="00691B99"/>
    <w:rsid w:val="006948D6"/>
    <w:rsid w:val="00696E66"/>
    <w:rsid w:val="006A3BF1"/>
    <w:rsid w:val="006B119E"/>
    <w:rsid w:val="006B34E3"/>
    <w:rsid w:val="006B3E98"/>
    <w:rsid w:val="006B3F49"/>
    <w:rsid w:val="006B4293"/>
    <w:rsid w:val="006B71D7"/>
    <w:rsid w:val="006C0E9F"/>
    <w:rsid w:val="006C4740"/>
    <w:rsid w:val="006C4ED4"/>
    <w:rsid w:val="006C7120"/>
    <w:rsid w:val="006D54DB"/>
    <w:rsid w:val="006D6ADC"/>
    <w:rsid w:val="006D7314"/>
    <w:rsid w:val="006E0993"/>
    <w:rsid w:val="006E1B4B"/>
    <w:rsid w:val="006E4FF8"/>
    <w:rsid w:val="006E56CC"/>
    <w:rsid w:val="006E63C6"/>
    <w:rsid w:val="006F0D22"/>
    <w:rsid w:val="006F4ECE"/>
    <w:rsid w:val="006F7FDF"/>
    <w:rsid w:val="0070290E"/>
    <w:rsid w:val="00705164"/>
    <w:rsid w:val="00705B0A"/>
    <w:rsid w:val="00706B38"/>
    <w:rsid w:val="00711CC0"/>
    <w:rsid w:val="00712703"/>
    <w:rsid w:val="007175FA"/>
    <w:rsid w:val="007246D9"/>
    <w:rsid w:val="00727BEF"/>
    <w:rsid w:val="00731637"/>
    <w:rsid w:val="00732848"/>
    <w:rsid w:val="00743A55"/>
    <w:rsid w:val="00746EF6"/>
    <w:rsid w:val="0074702A"/>
    <w:rsid w:val="00755EE9"/>
    <w:rsid w:val="007604C0"/>
    <w:rsid w:val="00761E0D"/>
    <w:rsid w:val="00762E64"/>
    <w:rsid w:val="00766949"/>
    <w:rsid w:val="00770FFB"/>
    <w:rsid w:val="00772768"/>
    <w:rsid w:val="00773ED4"/>
    <w:rsid w:val="00774FE6"/>
    <w:rsid w:val="007752DB"/>
    <w:rsid w:val="00780A4F"/>
    <w:rsid w:val="00781CD0"/>
    <w:rsid w:val="00782696"/>
    <w:rsid w:val="00782C21"/>
    <w:rsid w:val="00783D6A"/>
    <w:rsid w:val="00785A27"/>
    <w:rsid w:val="007902B9"/>
    <w:rsid w:val="007907D4"/>
    <w:rsid w:val="007916E4"/>
    <w:rsid w:val="00791C31"/>
    <w:rsid w:val="007930DF"/>
    <w:rsid w:val="00795B01"/>
    <w:rsid w:val="007A29BE"/>
    <w:rsid w:val="007A3068"/>
    <w:rsid w:val="007A4C3B"/>
    <w:rsid w:val="007A4CCB"/>
    <w:rsid w:val="007A7DFA"/>
    <w:rsid w:val="007B336E"/>
    <w:rsid w:val="007B54C5"/>
    <w:rsid w:val="007B57CF"/>
    <w:rsid w:val="007C12F5"/>
    <w:rsid w:val="007C212F"/>
    <w:rsid w:val="007C2FC8"/>
    <w:rsid w:val="007C4BB4"/>
    <w:rsid w:val="007D07D5"/>
    <w:rsid w:val="007D0E9B"/>
    <w:rsid w:val="007D1358"/>
    <w:rsid w:val="007D1D45"/>
    <w:rsid w:val="007D2CD1"/>
    <w:rsid w:val="007D4111"/>
    <w:rsid w:val="007D53E3"/>
    <w:rsid w:val="007D71F3"/>
    <w:rsid w:val="007D7E10"/>
    <w:rsid w:val="007E2A95"/>
    <w:rsid w:val="007E487D"/>
    <w:rsid w:val="007E7FCE"/>
    <w:rsid w:val="007F1AC9"/>
    <w:rsid w:val="007F2713"/>
    <w:rsid w:val="007F2885"/>
    <w:rsid w:val="007F7E42"/>
    <w:rsid w:val="00803A20"/>
    <w:rsid w:val="00807660"/>
    <w:rsid w:val="00814464"/>
    <w:rsid w:val="008147A8"/>
    <w:rsid w:val="00823D5A"/>
    <w:rsid w:val="00826A10"/>
    <w:rsid w:val="00827013"/>
    <w:rsid w:val="00831812"/>
    <w:rsid w:val="00831869"/>
    <w:rsid w:val="00831A58"/>
    <w:rsid w:val="0083407F"/>
    <w:rsid w:val="00836BCF"/>
    <w:rsid w:val="00836CA1"/>
    <w:rsid w:val="00840BA0"/>
    <w:rsid w:val="00845827"/>
    <w:rsid w:val="00846740"/>
    <w:rsid w:val="008527A2"/>
    <w:rsid w:val="00853CBF"/>
    <w:rsid w:val="00856359"/>
    <w:rsid w:val="00861A18"/>
    <w:rsid w:val="00870404"/>
    <w:rsid w:val="0087145C"/>
    <w:rsid w:val="00871D36"/>
    <w:rsid w:val="00873EB3"/>
    <w:rsid w:val="008770EB"/>
    <w:rsid w:val="00880506"/>
    <w:rsid w:val="00882C78"/>
    <w:rsid w:val="00884855"/>
    <w:rsid w:val="0088513C"/>
    <w:rsid w:val="00885826"/>
    <w:rsid w:val="00890E76"/>
    <w:rsid w:val="0089298D"/>
    <w:rsid w:val="00892B39"/>
    <w:rsid w:val="0089507C"/>
    <w:rsid w:val="008977F8"/>
    <w:rsid w:val="00897B3E"/>
    <w:rsid w:val="008A1DE9"/>
    <w:rsid w:val="008A39A4"/>
    <w:rsid w:val="008A480A"/>
    <w:rsid w:val="008B4D9E"/>
    <w:rsid w:val="008B6484"/>
    <w:rsid w:val="008C04AF"/>
    <w:rsid w:val="008C144C"/>
    <w:rsid w:val="008C1C91"/>
    <w:rsid w:val="008C4465"/>
    <w:rsid w:val="008C65B9"/>
    <w:rsid w:val="008C71F9"/>
    <w:rsid w:val="008D5802"/>
    <w:rsid w:val="008D7BCC"/>
    <w:rsid w:val="008E06A3"/>
    <w:rsid w:val="008E11F4"/>
    <w:rsid w:val="008E7279"/>
    <w:rsid w:val="008F5971"/>
    <w:rsid w:val="008F7770"/>
    <w:rsid w:val="008F7CBE"/>
    <w:rsid w:val="009007C9"/>
    <w:rsid w:val="009012E3"/>
    <w:rsid w:val="00902398"/>
    <w:rsid w:val="009032B2"/>
    <w:rsid w:val="00905546"/>
    <w:rsid w:val="0091645F"/>
    <w:rsid w:val="009177CB"/>
    <w:rsid w:val="009202E1"/>
    <w:rsid w:val="00922CDD"/>
    <w:rsid w:val="009256FB"/>
    <w:rsid w:val="00935585"/>
    <w:rsid w:val="00941313"/>
    <w:rsid w:val="00942057"/>
    <w:rsid w:val="0094231B"/>
    <w:rsid w:val="0094273A"/>
    <w:rsid w:val="00943A9D"/>
    <w:rsid w:val="00946A66"/>
    <w:rsid w:val="00951010"/>
    <w:rsid w:val="009511D0"/>
    <w:rsid w:val="00952C54"/>
    <w:rsid w:val="00953DC7"/>
    <w:rsid w:val="00956118"/>
    <w:rsid w:val="00956142"/>
    <w:rsid w:val="00957436"/>
    <w:rsid w:val="00960CB2"/>
    <w:rsid w:val="00962377"/>
    <w:rsid w:val="00962EF4"/>
    <w:rsid w:val="00963DE4"/>
    <w:rsid w:val="009652AC"/>
    <w:rsid w:val="00973878"/>
    <w:rsid w:val="009739D8"/>
    <w:rsid w:val="00991BBB"/>
    <w:rsid w:val="0099264C"/>
    <w:rsid w:val="009947F6"/>
    <w:rsid w:val="0099488F"/>
    <w:rsid w:val="0099592F"/>
    <w:rsid w:val="00995A71"/>
    <w:rsid w:val="00996919"/>
    <w:rsid w:val="009977B0"/>
    <w:rsid w:val="009A28D5"/>
    <w:rsid w:val="009B24C3"/>
    <w:rsid w:val="009B3FB8"/>
    <w:rsid w:val="009B5486"/>
    <w:rsid w:val="009B7423"/>
    <w:rsid w:val="009C3DB9"/>
    <w:rsid w:val="009C4270"/>
    <w:rsid w:val="009C6A36"/>
    <w:rsid w:val="009C7D18"/>
    <w:rsid w:val="009D0F9B"/>
    <w:rsid w:val="009D1F7D"/>
    <w:rsid w:val="009D22DD"/>
    <w:rsid w:val="009D2A95"/>
    <w:rsid w:val="009E0E5B"/>
    <w:rsid w:val="009E20F0"/>
    <w:rsid w:val="009E2107"/>
    <w:rsid w:val="009E3E50"/>
    <w:rsid w:val="009E7333"/>
    <w:rsid w:val="009F2750"/>
    <w:rsid w:val="009F3159"/>
    <w:rsid w:val="009F5F3B"/>
    <w:rsid w:val="009F7F41"/>
    <w:rsid w:val="00A037AC"/>
    <w:rsid w:val="00A077ED"/>
    <w:rsid w:val="00A07ABD"/>
    <w:rsid w:val="00A130D6"/>
    <w:rsid w:val="00A138F9"/>
    <w:rsid w:val="00A157C0"/>
    <w:rsid w:val="00A203DF"/>
    <w:rsid w:val="00A217D4"/>
    <w:rsid w:val="00A227C7"/>
    <w:rsid w:val="00A34BA2"/>
    <w:rsid w:val="00A35EA7"/>
    <w:rsid w:val="00A4265D"/>
    <w:rsid w:val="00A4629A"/>
    <w:rsid w:val="00A5252C"/>
    <w:rsid w:val="00A53471"/>
    <w:rsid w:val="00A60410"/>
    <w:rsid w:val="00A64E70"/>
    <w:rsid w:val="00A67B57"/>
    <w:rsid w:val="00A718D7"/>
    <w:rsid w:val="00A72E9E"/>
    <w:rsid w:val="00A73D26"/>
    <w:rsid w:val="00A75948"/>
    <w:rsid w:val="00A7689C"/>
    <w:rsid w:val="00A81609"/>
    <w:rsid w:val="00A81D97"/>
    <w:rsid w:val="00A82E7C"/>
    <w:rsid w:val="00A82FCC"/>
    <w:rsid w:val="00A84016"/>
    <w:rsid w:val="00A87136"/>
    <w:rsid w:val="00A87DBD"/>
    <w:rsid w:val="00A90950"/>
    <w:rsid w:val="00A91AED"/>
    <w:rsid w:val="00A91DEA"/>
    <w:rsid w:val="00A95A68"/>
    <w:rsid w:val="00AA3F7D"/>
    <w:rsid w:val="00AB5ACB"/>
    <w:rsid w:val="00AC01A0"/>
    <w:rsid w:val="00AC1642"/>
    <w:rsid w:val="00AC4CF7"/>
    <w:rsid w:val="00AC6823"/>
    <w:rsid w:val="00AD0BB6"/>
    <w:rsid w:val="00AD7B2D"/>
    <w:rsid w:val="00AE1466"/>
    <w:rsid w:val="00AE3560"/>
    <w:rsid w:val="00AF08F0"/>
    <w:rsid w:val="00AF3813"/>
    <w:rsid w:val="00AF4233"/>
    <w:rsid w:val="00AF5A2E"/>
    <w:rsid w:val="00AF78C6"/>
    <w:rsid w:val="00AF7FCF"/>
    <w:rsid w:val="00B01070"/>
    <w:rsid w:val="00B0144A"/>
    <w:rsid w:val="00B02D30"/>
    <w:rsid w:val="00B04230"/>
    <w:rsid w:val="00B05B5C"/>
    <w:rsid w:val="00B10A76"/>
    <w:rsid w:val="00B11CB9"/>
    <w:rsid w:val="00B12AF0"/>
    <w:rsid w:val="00B12B90"/>
    <w:rsid w:val="00B1469A"/>
    <w:rsid w:val="00B20648"/>
    <w:rsid w:val="00B227A9"/>
    <w:rsid w:val="00B229AF"/>
    <w:rsid w:val="00B23762"/>
    <w:rsid w:val="00B265A3"/>
    <w:rsid w:val="00B30BF3"/>
    <w:rsid w:val="00B335C0"/>
    <w:rsid w:val="00B37AC8"/>
    <w:rsid w:val="00B408EA"/>
    <w:rsid w:val="00B4219E"/>
    <w:rsid w:val="00B4460A"/>
    <w:rsid w:val="00B44AF4"/>
    <w:rsid w:val="00B45B13"/>
    <w:rsid w:val="00B50A17"/>
    <w:rsid w:val="00B50F5E"/>
    <w:rsid w:val="00B5691A"/>
    <w:rsid w:val="00B6136B"/>
    <w:rsid w:val="00B61B54"/>
    <w:rsid w:val="00B62D0B"/>
    <w:rsid w:val="00B678D8"/>
    <w:rsid w:val="00B679CC"/>
    <w:rsid w:val="00B714D1"/>
    <w:rsid w:val="00B741DE"/>
    <w:rsid w:val="00B85563"/>
    <w:rsid w:val="00B95319"/>
    <w:rsid w:val="00B975F7"/>
    <w:rsid w:val="00B97650"/>
    <w:rsid w:val="00BA20C6"/>
    <w:rsid w:val="00BA5EAA"/>
    <w:rsid w:val="00BA7ACE"/>
    <w:rsid w:val="00BB1146"/>
    <w:rsid w:val="00BB5852"/>
    <w:rsid w:val="00BB6912"/>
    <w:rsid w:val="00BB735E"/>
    <w:rsid w:val="00BC2F61"/>
    <w:rsid w:val="00BC3FB7"/>
    <w:rsid w:val="00BC5A10"/>
    <w:rsid w:val="00BD6A98"/>
    <w:rsid w:val="00BE0151"/>
    <w:rsid w:val="00BE06E4"/>
    <w:rsid w:val="00BE10B5"/>
    <w:rsid w:val="00BE26A5"/>
    <w:rsid w:val="00BE3A7E"/>
    <w:rsid w:val="00BE3D1E"/>
    <w:rsid w:val="00BE6693"/>
    <w:rsid w:val="00BE6883"/>
    <w:rsid w:val="00BF30D5"/>
    <w:rsid w:val="00BF7E42"/>
    <w:rsid w:val="00C013F4"/>
    <w:rsid w:val="00C112CD"/>
    <w:rsid w:val="00C1212E"/>
    <w:rsid w:val="00C13650"/>
    <w:rsid w:val="00C176DD"/>
    <w:rsid w:val="00C17C96"/>
    <w:rsid w:val="00C20A04"/>
    <w:rsid w:val="00C21085"/>
    <w:rsid w:val="00C2385B"/>
    <w:rsid w:val="00C241A8"/>
    <w:rsid w:val="00C245BB"/>
    <w:rsid w:val="00C267AC"/>
    <w:rsid w:val="00C34032"/>
    <w:rsid w:val="00C348FE"/>
    <w:rsid w:val="00C34EB6"/>
    <w:rsid w:val="00C36B67"/>
    <w:rsid w:val="00C37E85"/>
    <w:rsid w:val="00C42031"/>
    <w:rsid w:val="00C45499"/>
    <w:rsid w:val="00C46109"/>
    <w:rsid w:val="00C52714"/>
    <w:rsid w:val="00C52C53"/>
    <w:rsid w:val="00C53818"/>
    <w:rsid w:val="00C56BD6"/>
    <w:rsid w:val="00C57305"/>
    <w:rsid w:val="00C6431A"/>
    <w:rsid w:val="00C66C99"/>
    <w:rsid w:val="00C70EA4"/>
    <w:rsid w:val="00C73C1D"/>
    <w:rsid w:val="00C7535D"/>
    <w:rsid w:val="00C75F25"/>
    <w:rsid w:val="00C80DE0"/>
    <w:rsid w:val="00C868DA"/>
    <w:rsid w:val="00C91FE2"/>
    <w:rsid w:val="00C94454"/>
    <w:rsid w:val="00CA19B2"/>
    <w:rsid w:val="00CA3BB5"/>
    <w:rsid w:val="00CA663E"/>
    <w:rsid w:val="00CB0125"/>
    <w:rsid w:val="00CB1161"/>
    <w:rsid w:val="00CB2509"/>
    <w:rsid w:val="00CB2891"/>
    <w:rsid w:val="00CB42E3"/>
    <w:rsid w:val="00CB5941"/>
    <w:rsid w:val="00CB68BC"/>
    <w:rsid w:val="00CC254D"/>
    <w:rsid w:val="00CC27F0"/>
    <w:rsid w:val="00CC3A34"/>
    <w:rsid w:val="00CC4166"/>
    <w:rsid w:val="00CC6243"/>
    <w:rsid w:val="00CC74BB"/>
    <w:rsid w:val="00CC7720"/>
    <w:rsid w:val="00CD2952"/>
    <w:rsid w:val="00CD2F1A"/>
    <w:rsid w:val="00CD30FE"/>
    <w:rsid w:val="00CD7889"/>
    <w:rsid w:val="00CE1A77"/>
    <w:rsid w:val="00CE1E7B"/>
    <w:rsid w:val="00CF0179"/>
    <w:rsid w:val="00CF3705"/>
    <w:rsid w:val="00CF7143"/>
    <w:rsid w:val="00D0304B"/>
    <w:rsid w:val="00D036C6"/>
    <w:rsid w:val="00D040BC"/>
    <w:rsid w:val="00D04312"/>
    <w:rsid w:val="00D04EBB"/>
    <w:rsid w:val="00D065B8"/>
    <w:rsid w:val="00D06981"/>
    <w:rsid w:val="00D07A8B"/>
    <w:rsid w:val="00D10390"/>
    <w:rsid w:val="00D1065B"/>
    <w:rsid w:val="00D11C16"/>
    <w:rsid w:val="00D155BA"/>
    <w:rsid w:val="00D15A2D"/>
    <w:rsid w:val="00D16967"/>
    <w:rsid w:val="00D205F2"/>
    <w:rsid w:val="00D21387"/>
    <w:rsid w:val="00D24D36"/>
    <w:rsid w:val="00D25D54"/>
    <w:rsid w:val="00D27475"/>
    <w:rsid w:val="00D305D9"/>
    <w:rsid w:val="00D308EA"/>
    <w:rsid w:val="00D356B1"/>
    <w:rsid w:val="00D36ED1"/>
    <w:rsid w:val="00D40853"/>
    <w:rsid w:val="00D40A0F"/>
    <w:rsid w:val="00D40D1B"/>
    <w:rsid w:val="00D4138F"/>
    <w:rsid w:val="00D42783"/>
    <w:rsid w:val="00D436A3"/>
    <w:rsid w:val="00D45ABC"/>
    <w:rsid w:val="00D4668E"/>
    <w:rsid w:val="00D47215"/>
    <w:rsid w:val="00D51E71"/>
    <w:rsid w:val="00D5525A"/>
    <w:rsid w:val="00D620AB"/>
    <w:rsid w:val="00D653BA"/>
    <w:rsid w:val="00D66073"/>
    <w:rsid w:val="00D701EC"/>
    <w:rsid w:val="00D70E34"/>
    <w:rsid w:val="00D7538F"/>
    <w:rsid w:val="00D77096"/>
    <w:rsid w:val="00D80C8D"/>
    <w:rsid w:val="00D8243D"/>
    <w:rsid w:val="00D8355F"/>
    <w:rsid w:val="00D84A9F"/>
    <w:rsid w:val="00D86423"/>
    <w:rsid w:val="00D900DD"/>
    <w:rsid w:val="00DA0E58"/>
    <w:rsid w:val="00DB052D"/>
    <w:rsid w:val="00DB5024"/>
    <w:rsid w:val="00DB50F1"/>
    <w:rsid w:val="00DB5B3C"/>
    <w:rsid w:val="00DC0AE3"/>
    <w:rsid w:val="00DC49A7"/>
    <w:rsid w:val="00DC4AE0"/>
    <w:rsid w:val="00DC5E77"/>
    <w:rsid w:val="00DC632F"/>
    <w:rsid w:val="00DC7E61"/>
    <w:rsid w:val="00DD6BA6"/>
    <w:rsid w:val="00DD7988"/>
    <w:rsid w:val="00DD7A0F"/>
    <w:rsid w:val="00DE287B"/>
    <w:rsid w:val="00DE2AA0"/>
    <w:rsid w:val="00DE31BA"/>
    <w:rsid w:val="00DE361D"/>
    <w:rsid w:val="00E027E8"/>
    <w:rsid w:val="00E053C5"/>
    <w:rsid w:val="00E07EFA"/>
    <w:rsid w:val="00E134FA"/>
    <w:rsid w:val="00E16644"/>
    <w:rsid w:val="00E26A9B"/>
    <w:rsid w:val="00E33692"/>
    <w:rsid w:val="00E37A46"/>
    <w:rsid w:val="00E40C4A"/>
    <w:rsid w:val="00E41DB7"/>
    <w:rsid w:val="00E461AD"/>
    <w:rsid w:val="00E46515"/>
    <w:rsid w:val="00E526F4"/>
    <w:rsid w:val="00E53FED"/>
    <w:rsid w:val="00E544D2"/>
    <w:rsid w:val="00E60B10"/>
    <w:rsid w:val="00E6580E"/>
    <w:rsid w:val="00E7239E"/>
    <w:rsid w:val="00E729EB"/>
    <w:rsid w:val="00E73044"/>
    <w:rsid w:val="00E73174"/>
    <w:rsid w:val="00E75E92"/>
    <w:rsid w:val="00E764DA"/>
    <w:rsid w:val="00E77D1E"/>
    <w:rsid w:val="00E77E1E"/>
    <w:rsid w:val="00E83C23"/>
    <w:rsid w:val="00E859A7"/>
    <w:rsid w:val="00E86781"/>
    <w:rsid w:val="00E86988"/>
    <w:rsid w:val="00E87CE5"/>
    <w:rsid w:val="00E90492"/>
    <w:rsid w:val="00E91D7B"/>
    <w:rsid w:val="00E92607"/>
    <w:rsid w:val="00E93BF3"/>
    <w:rsid w:val="00EA54AF"/>
    <w:rsid w:val="00EB1292"/>
    <w:rsid w:val="00EB1932"/>
    <w:rsid w:val="00EB2C93"/>
    <w:rsid w:val="00EB346F"/>
    <w:rsid w:val="00EB3D4A"/>
    <w:rsid w:val="00EB51B7"/>
    <w:rsid w:val="00EB53BF"/>
    <w:rsid w:val="00EB5D94"/>
    <w:rsid w:val="00EB68B2"/>
    <w:rsid w:val="00EB7303"/>
    <w:rsid w:val="00EB7FEA"/>
    <w:rsid w:val="00EC0953"/>
    <w:rsid w:val="00EC207E"/>
    <w:rsid w:val="00EC5EC2"/>
    <w:rsid w:val="00ED0045"/>
    <w:rsid w:val="00ED03EC"/>
    <w:rsid w:val="00ED5ECD"/>
    <w:rsid w:val="00ED7148"/>
    <w:rsid w:val="00EE0968"/>
    <w:rsid w:val="00EF0A97"/>
    <w:rsid w:val="00F067BC"/>
    <w:rsid w:val="00F10C4A"/>
    <w:rsid w:val="00F15FE0"/>
    <w:rsid w:val="00F1642A"/>
    <w:rsid w:val="00F16F83"/>
    <w:rsid w:val="00F26343"/>
    <w:rsid w:val="00F30CE7"/>
    <w:rsid w:val="00F31E00"/>
    <w:rsid w:val="00F36FAD"/>
    <w:rsid w:val="00F43C20"/>
    <w:rsid w:val="00F46064"/>
    <w:rsid w:val="00F509CB"/>
    <w:rsid w:val="00F63FB8"/>
    <w:rsid w:val="00F747E9"/>
    <w:rsid w:val="00F756A8"/>
    <w:rsid w:val="00F77BC2"/>
    <w:rsid w:val="00F93875"/>
    <w:rsid w:val="00F947D7"/>
    <w:rsid w:val="00F9543F"/>
    <w:rsid w:val="00F971F2"/>
    <w:rsid w:val="00FA2F36"/>
    <w:rsid w:val="00FA3B42"/>
    <w:rsid w:val="00FA6E79"/>
    <w:rsid w:val="00FB04B0"/>
    <w:rsid w:val="00FB1E9D"/>
    <w:rsid w:val="00FB2188"/>
    <w:rsid w:val="00FB6F93"/>
    <w:rsid w:val="00FC356C"/>
    <w:rsid w:val="00FC784D"/>
    <w:rsid w:val="00FD1F38"/>
    <w:rsid w:val="00FD40BC"/>
    <w:rsid w:val="00FD5648"/>
    <w:rsid w:val="00FE074F"/>
    <w:rsid w:val="00FF4443"/>
    <w:rsid w:val="00FF53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08A2CC85"/>
  <w15:chartTrackingRefBased/>
  <w15:docId w15:val="{B30C3EBA-EDAB-4DA3-BD0D-1E59BB4E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E48AA"/>
    <w:rPr>
      <w:color w:val="0000FF"/>
      <w:u w:val="single"/>
    </w:rPr>
  </w:style>
  <w:style w:type="paragraph" w:styleId="Encabezado">
    <w:name w:val="header"/>
    <w:basedOn w:val="Normal"/>
    <w:link w:val="EncabezadoCar"/>
    <w:uiPriority w:val="99"/>
    <w:rsid w:val="000E48A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E48AA"/>
    <w:rPr>
      <w:rFonts w:ascii="Times New Roman" w:eastAsia="Times New Roman" w:hAnsi="Times New Roman" w:cs="Times New Roman"/>
      <w:sz w:val="24"/>
      <w:szCs w:val="24"/>
      <w:lang w:eastAsia="es-ES"/>
    </w:rPr>
  </w:style>
  <w:style w:type="paragraph" w:styleId="Piedepgina">
    <w:name w:val="footer"/>
    <w:basedOn w:val="Normal"/>
    <w:link w:val="PiedepginaCar"/>
    <w:rsid w:val="000E48A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0E48AA"/>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890E76"/>
    <w:rPr>
      <w:color w:val="954F72" w:themeColor="followedHyperlink"/>
      <w:u w:val="single"/>
    </w:rPr>
  </w:style>
  <w:style w:type="paragraph" w:customStyle="1" w:styleId="CarCarCarCarCarCharCharCar">
    <w:name w:val="Car Car Car Car Car Char Char Car"/>
    <w:basedOn w:val="Normal"/>
    <w:rsid w:val="00EB1932"/>
    <w:pPr>
      <w:widowControl w:val="0"/>
      <w:tabs>
        <w:tab w:val="left" w:leader="hyphen" w:pos="7370"/>
      </w:tabs>
      <w:autoSpaceDE w:val="0"/>
      <w:autoSpaceDN w:val="0"/>
      <w:adjustRightInd w:val="0"/>
      <w:spacing w:after="0" w:line="560" w:lineRule="exact"/>
    </w:pPr>
    <w:rPr>
      <w:rFonts w:ascii="Arial" w:eastAsia="Times New Roman" w:hAnsi="Arial" w:cs="Arial"/>
      <w:noProof/>
      <w:sz w:val="24"/>
      <w:szCs w:val="20"/>
      <w:lang w:val="en-US" w:eastAsia="es-ES"/>
    </w:rPr>
  </w:style>
  <w:style w:type="paragraph" w:styleId="Prrafodelista">
    <w:name w:val="List Paragraph"/>
    <w:basedOn w:val="Normal"/>
    <w:uiPriority w:val="34"/>
    <w:qFormat/>
    <w:rsid w:val="0099264C"/>
    <w:pPr>
      <w:ind w:left="720"/>
      <w:contextualSpacing/>
    </w:pPr>
  </w:style>
  <w:style w:type="paragraph" w:styleId="Textonotaalfinal">
    <w:name w:val="endnote text"/>
    <w:basedOn w:val="Normal"/>
    <w:link w:val="TextonotaalfinalCar"/>
    <w:semiHidden/>
    <w:rsid w:val="004700E6"/>
    <w:pPr>
      <w:overflowPunct w:val="0"/>
      <w:autoSpaceDE w:val="0"/>
      <w:autoSpaceDN w:val="0"/>
      <w:adjustRightInd w:val="0"/>
      <w:spacing w:after="0" w:line="240" w:lineRule="auto"/>
      <w:textAlignment w:val="baseline"/>
    </w:pPr>
    <w:rPr>
      <w:rFonts w:ascii="CG Times (W1)" w:eastAsia="Times New Roman" w:hAnsi="CG Times (W1)" w:cs="Times New Roman"/>
      <w:sz w:val="20"/>
      <w:szCs w:val="20"/>
      <w:lang w:val="es-ES_tradnl" w:eastAsia="es-ES"/>
    </w:rPr>
  </w:style>
  <w:style w:type="character" w:customStyle="1" w:styleId="TextonotaalfinalCar">
    <w:name w:val="Texto nota al final Car"/>
    <w:basedOn w:val="Fuentedeprrafopredeter"/>
    <w:link w:val="Textonotaalfinal"/>
    <w:semiHidden/>
    <w:rsid w:val="004700E6"/>
    <w:rPr>
      <w:rFonts w:ascii="CG Times (W1)" w:eastAsia="Times New Roman" w:hAnsi="CG Times (W1)" w:cs="Times New Roman"/>
      <w:sz w:val="20"/>
      <w:szCs w:val="20"/>
      <w:lang w:val="es-ES_tradnl" w:eastAsia="es-ES"/>
    </w:rPr>
  </w:style>
  <w:style w:type="character" w:styleId="Refdenotaalfinal">
    <w:name w:val="endnote reference"/>
    <w:semiHidden/>
    <w:rsid w:val="004700E6"/>
    <w:rPr>
      <w:vertAlign w:val="superscript"/>
    </w:rPr>
  </w:style>
  <w:style w:type="character" w:styleId="Textodelmarcadordeposicin">
    <w:name w:val="Placeholder Text"/>
    <w:basedOn w:val="Fuentedeprrafopredeter"/>
    <w:uiPriority w:val="99"/>
    <w:semiHidden/>
    <w:rsid w:val="0062680D"/>
    <w:rPr>
      <w:color w:val="808080"/>
    </w:rPr>
  </w:style>
  <w:style w:type="character" w:styleId="Mencinsinresolver">
    <w:name w:val="Unresolved Mention"/>
    <w:basedOn w:val="Fuentedeprrafopredeter"/>
    <w:uiPriority w:val="99"/>
    <w:semiHidden/>
    <w:unhideWhenUsed/>
    <w:rsid w:val="00403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26" Type="http://schemas.openxmlformats.org/officeDocument/2006/relationships/hyperlink" Target="https://www1.sedecatastro.gob.es/PortalCatastro/Anuncios.aspx" TargetMode="External"/><Relationship Id="rId21" Type="http://schemas.openxmlformats.org/officeDocument/2006/relationships/hyperlink" Target="https://www.poderjudicial.es/search/AN/openDocument/c54b3ff6070f8af0a0a8778d75e36f0d/20240711" TargetMode="External"/><Relationship Id="rId42" Type="http://schemas.openxmlformats.org/officeDocument/2006/relationships/hyperlink" Target="https://noticias.juridicas.com/base_datos/Fiscal/r58-l35-2006.t3.html" TargetMode="External"/><Relationship Id="rId47" Type="http://schemas.openxmlformats.org/officeDocument/2006/relationships/hyperlink" Target="https://noticias.juridicas.com/base_datos/Fiscal/r62-rdleg1-1993.t5.html" TargetMode="External"/><Relationship Id="rId63" Type="http://schemas.openxmlformats.org/officeDocument/2006/relationships/hyperlink" Target="https://www1.sedecatastro.gob.es/PortalCatastro/Anuncios.aspx" TargetMode="External"/><Relationship Id="rId68" Type="http://schemas.openxmlformats.org/officeDocument/2006/relationships/hyperlink" Target="https://www.boe.es/buscar/act.php?id=BOE-A-2023-15549&amp;p=20230705&amp;tn=1" TargetMode="External"/><Relationship Id="rId84" Type="http://schemas.openxmlformats.org/officeDocument/2006/relationships/footer" Target="footer1.xml"/><Relationship Id="rId16" Type="http://schemas.openxmlformats.org/officeDocument/2006/relationships/hyperlink" Target="https://noticias.juridicas.com/base_datos/Fiscal/l29-1987.html" TargetMode="External"/><Relationship Id="rId11" Type="http://schemas.openxmlformats.org/officeDocument/2006/relationships/hyperlink" Target="https://www.notariosyregistradores.com/web/secciones/fiscal/informes-mensuales-fiscal/informe-fiscal-noviembre-2024-cuando-no-se-aplica-el-valor-de-referencia-aunque-exista-facultad-resolutoria-e-itp/" TargetMode="External"/><Relationship Id="rId32" Type="http://schemas.openxmlformats.org/officeDocument/2006/relationships/hyperlink" Target="https://noticias.juridicas.com/base_datos/Fiscal/r62-rdleg1-1993.t4.html" TargetMode="External"/><Relationship Id="rId37" Type="http://schemas.openxmlformats.org/officeDocument/2006/relationships/hyperlink" Target="https://noticias.juridicas.com/base_datos/Fiscal/l19-1991.html" TargetMode="External"/><Relationship Id="rId53" Type="http://schemas.openxmlformats.org/officeDocument/2006/relationships/hyperlink" Target="https://noticias.juridicas.com/base_datos/Fiscal/r58-l35-2006.t10.html" TargetMode="External"/><Relationship Id="rId58" Type="http://schemas.openxmlformats.org/officeDocument/2006/relationships/hyperlink" Target="https://petete.tributos.hacienda.gob.es/consultas/?num_consulta=V0298-22" TargetMode="External"/><Relationship Id="rId74" Type="http://schemas.openxmlformats.org/officeDocument/2006/relationships/hyperlink" Target="https://petete.tributos.hacienda.gob.es/consultas/?num_consulta=V2496-23" TargetMode="External"/><Relationship Id="rId79" Type="http://schemas.openxmlformats.org/officeDocument/2006/relationships/hyperlink" Target="https://petete.tributos.hacienda.gob.es/consultas/?num_consulta=V0143-22" TargetMode="External"/><Relationship Id="rId5" Type="http://schemas.openxmlformats.org/officeDocument/2006/relationships/webSettings" Target="webSettings.xml"/><Relationship Id="rId19" Type="http://schemas.openxmlformats.org/officeDocument/2006/relationships/hyperlink" Target="https://www.josemariasalcedo.com/medios/salcedo-opina/" TargetMode="External"/><Relationship Id="rId14" Type="http://schemas.openxmlformats.org/officeDocument/2006/relationships/hyperlink" Target="https://www1.sedecatastro.gob.es/Accesos/SECAccvr.aspx" TargetMode="External"/><Relationship Id="rId22" Type="http://schemas.openxmlformats.org/officeDocument/2006/relationships/hyperlink" Target="http://www.poderjudicial.es/search/AN/openDocument/d5a3a2133e9d3be6/20210208" TargetMode="External"/><Relationship Id="rId27" Type="http://schemas.openxmlformats.org/officeDocument/2006/relationships/hyperlink" Target="https://noticias.juridicas.com/base_datos/Fiscal/r62-rdleg1-1993.t2.html" TargetMode="External"/><Relationship Id="rId30" Type="http://schemas.openxmlformats.org/officeDocument/2006/relationships/hyperlink" Target="https://noticias.juridicas.com/base_datos/Fiscal/r58-l35-2006.t3.html" TargetMode="External"/><Relationship Id="rId35" Type="http://schemas.openxmlformats.org/officeDocument/2006/relationships/hyperlink" Target="https://noticias.juridicas.com/base_datos/Fiscal/l29-1987.html" TargetMode="External"/><Relationship Id="rId43" Type="http://schemas.openxmlformats.org/officeDocument/2006/relationships/hyperlink" Target="https://petete.tributos.hacienda.gob.es/consultas/?num_consulta=V1601-22" TargetMode="External"/><Relationship Id="rId48" Type="http://schemas.openxmlformats.org/officeDocument/2006/relationships/hyperlink" Target="https://www.poderjudicial.es/search/AN/openDocument/8b35cb2891f11750/20210329" TargetMode="External"/><Relationship Id="rId56" Type="http://schemas.openxmlformats.org/officeDocument/2006/relationships/hyperlink" Target="https://noticias.juridicas.com/base_datos/Fiscal/r23-rdleg5-2004.html" TargetMode="External"/><Relationship Id="rId64" Type="http://schemas.openxmlformats.org/officeDocument/2006/relationships/hyperlink" Target="https://petete.tributos.hacienda.gob.es/consultas/?num_consulta=V2002-24" TargetMode="External"/><Relationship Id="rId69" Type="http://schemas.openxmlformats.org/officeDocument/2006/relationships/hyperlink" Target="https://noticias.juridicas.com/base_datos/Fiscal/rd828-1995.t4.html" TargetMode="External"/><Relationship Id="rId77" Type="http://schemas.openxmlformats.org/officeDocument/2006/relationships/hyperlink" Target="https://www.poderjudicial.es/search/AN/openDocument/86259fb33368797ba0a8778d75e36f0d/20220802" TargetMode="External"/><Relationship Id="rId8" Type="http://schemas.openxmlformats.org/officeDocument/2006/relationships/hyperlink" Target="http://www.oviedonotaria.com" TargetMode="External"/><Relationship Id="rId51" Type="http://schemas.openxmlformats.org/officeDocument/2006/relationships/hyperlink" Target="https://serviciostelematicosext.hacienda.gob.es/TEAC/DYCTEA/criterio.aspx?id=00/02024/2023/00/0/1&amp;q=s%3d1%26rs%3d%26rn%3d%26ra%3d%26fd%3d23%2f01%2f2024%26fh%3d23%2f01%2f2024%26u%3d%26n%3d%26p%3d%26c1%3d%26c2%3d%26c3%3d%26tc%3d1%26tr%3d%26tp%3d%26tf%3d%26c%3d2%26pg%3d" TargetMode="External"/><Relationship Id="rId72" Type="http://schemas.openxmlformats.org/officeDocument/2006/relationships/hyperlink" Target="https://noticias.juridicas.com/base_datos/Fiscal/l29-1987.html" TargetMode="External"/><Relationship Id="rId80" Type="http://schemas.openxmlformats.org/officeDocument/2006/relationships/hyperlink" Target="https://petete.tributos.hacienda.gob.es/consultas/?num_consulta=V2496-23"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oticias.juridicas.com/base_datos/Fiscal/702808-l-11-2021-de-jul-medidas-prevencion-y-lucha-contra-fraude-fiscal-transposicion.html" TargetMode="External"/><Relationship Id="rId17" Type="http://schemas.openxmlformats.org/officeDocument/2006/relationships/hyperlink" Target="https://www.sedecatastro.gob.es/Accesos/SECAccDNI.aspx?Dest=50&amp;ejercicio=2022" TargetMode="External"/><Relationship Id="rId25" Type="http://schemas.openxmlformats.org/officeDocument/2006/relationships/hyperlink" Target="https://sede.tributasenasturias.es/sites/sede/default/es_ES/" TargetMode="External"/><Relationship Id="rId33" Type="http://schemas.openxmlformats.org/officeDocument/2006/relationships/hyperlink" Target="https://noticias.juridicas.com/base_datos/Fiscal/r62-rdleg1-1993.t4.html" TargetMode="External"/><Relationship Id="rId38" Type="http://schemas.openxmlformats.org/officeDocument/2006/relationships/hyperlink" Target="https://www.catastro.meh.es/esp/faqs.asp" TargetMode="External"/><Relationship Id="rId46" Type="http://schemas.openxmlformats.org/officeDocument/2006/relationships/hyperlink" Target="https://www.poderjudicial.es/search/AN/openDocument/fdb2fd148a82a180a0a8778d75e36f0d/20240426" TargetMode="External"/><Relationship Id="rId59" Type="http://schemas.openxmlformats.org/officeDocument/2006/relationships/hyperlink" Target="https://www1.sedecatastro.gob.es/PortalCatastro/Anuncios.aspx" TargetMode="External"/><Relationship Id="rId67" Type="http://schemas.openxmlformats.org/officeDocument/2006/relationships/hyperlink" Target="https://noticias.juridicas.com/base_datos/Fiscal/rdleg1-1993.t2.html" TargetMode="External"/><Relationship Id="rId20" Type="http://schemas.openxmlformats.org/officeDocument/2006/relationships/hyperlink" Target="https://www.poderjudicial.es/search/AN/openDocument/84e83203e784a76ba0a8778d75e36f0d/20240826" TargetMode="External"/><Relationship Id="rId41" Type="http://schemas.openxmlformats.org/officeDocument/2006/relationships/hyperlink" Target="https://petete.tributos.hacienda.gob.es/consultas/?num_consulta=V1909-23" TargetMode="External"/><Relationship Id="rId54" Type="http://schemas.openxmlformats.org/officeDocument/2006/relationships/hyperlink" Target="https://noticias.juridicas.com/base_datos/Fiscal/r24-540273-l-27-2014-de-27-nov-impuesto-sobre-sociedades.html" TargetMode="External"/><Relationship Id="rId62" Type="http://schemas.openxmlformats.org/officeDocument/2006/relationships/hyperlink" Target="https://petete.tributos.hacienda.gob.es/consultas/?num_consulta=V1867-23" TargetMode="External"/><Relationship Id="rId70" Type="http://schemas.openxmlformats.org/officeDocument/2006/relationships/hyperlink" Target="https://www.poderjudicial.es/search/AN/openDocument/8d172b93d12d419e/20200601" TargetMode="External"/><Relationship Id="rId75" Type="http://schemas.openxmlformats.org/officeDocument/2006/relationships/hyperlink" Target="https://petete.tributos.hacienda.gob.es/consultas/?num_consulta=V2556-24"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ticias.juridicas.com/base_datos/Fiscal/rdleg1-1993.t2.html" TargetMode="External"/><Relationship Id="rId23" Type="http://schemas.openxmlformats.org/officeDocument/2006/relationships/hyperlink" Target="https://www.poderjudicial.es/search/AN/openDocument/a6a6d0d848b6c617a0a8778d75e36f0d/20241216" TargetMode="External"/><Relationship Id="rId28" Type="http://schemas.openxmlformats.org/officeDocument/2006/relationships/hyperlink" Target="https://noticias.juridicas.com/base_datos/Fiscal/r62-rdleg1-1993.t5.html" TargetMode="External"/><Relationship Id="rId36" Type="http://schemas.openxmlformats.org/officeDocument/2006/relationships/hyperlink" Target="https://noticias.juridicas.com/base_datos/Fiscal/l29-1987.html" TargetMode="External"/><Relationship Id="rId49" Type="http://schemas.openxmlformats.org/officeDocument/2006/relationships/hyperlink" Target="https://petete.tributos.hacienda.gob.es/consultas/?num_consulta=V2921-21" TargetMode="External"/><Relationship Id="rId57" Type="http://schemas.openxmlformats.org/officeDocument/2006/relationships/hyperlink" Target="https://noticias.juridicas.com/base_datos/Fiscal/r23-rdleg5-2004.html" TargetMode="External"/><Relationship Id="rId10" Type="http://schemas.openxmlformats.org/officeDocument/2006/relationships/hyperlink" Target="https://www.notariosyregistradores.com/web/secciones/fiscal/informes-mensuales-fiscal/informe-fiscal-julio-2022-el-valor-de-referencia-a-los-seis-meses-de-su-entrada-en-vigor/" TargetMode="External"/><Relationship Id="rId31" Type="http://schemas.openxmlformats.org/officeDocument/2006/relationships/hyperlink" Target="https://noticias.juridicas.com/base_datos/Fiscal/r62-rdleg1-1993.t4.html" TargetMode="External"/><Relationship Id="rId44" Type="http://schemas.openxmlformats.org/officeDocument/2006/relationships/hyperlink" Target="https://www.poderjudicial.es/search/AN/openDocument/f8988b0d7f6147b3a0a8778d75e36f0d/20221116" TargetMode="External"/><Relationship Id="rId52" Type="http://schemas.openxmlformats.org/officeDocument/2006/relationships/hyperlink" Target="https://serviciostelematicosext.hacienda.gob.es/TEAC/DYCTEA/criterio.aspx?id=28/10901/2021/00/0/1&amp;q=s%3d1%26rs%3d%26rn%3d%26ra%3d%26fd%3d%26fh%3d%26u%3d%26n%3d%26p%3d%26c1%3d%26c2%3d%26c3%3d%26tc%3d1%26tr%3d%26tp%3d%26tf%3d%26c%3d2%26pg%3d" TargetMode="External"/><Relationship Id="rId60" Type="http://schemas.openxmlformats.org/officeDocument/2006/relationships/hyperlink" Target="https://noticias.juridicas.com/base_datos/Fiscal/rd828-1995.t2.html" TargetMode="External"/><Relationship Id="rId65" Type="http://schemas.openxmlformats.org/officeDocument/2006/relationships/hyperlink" Target="https://www1.sedecatastro.gob.es/PortalCatastro/Anuncios.aspx" TargetMode="External"/><Relationship Id="rId73" Type="http://schemas.openxmlformats.org/officeDocument/2006/relationships/hyperlink" Target="https://petete.tributos.hacienda.gob.es/consultas/?num_consulta=V0143-22" TargetMode="External"/><Relationship Id="rId78" Type="http://schemas.openxmlformats.org/officeDocument/2006/relationships/hyperlink" Target="https://noticias.juridicas.com/base_datos/Fiscal/rdleg1-1993.t2.html" TargetMode="External"/><Relationship Id="rId81" Type="http://schemas.openxmlformats.org/officeDocument/2006/relationships/hyperlink" Target="https://petete.tributos.hacienda.gob.es/consultas/?num_consulta=V2556-24"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tariosyregistradores.com/web/secciones/fiscal/articulos-fiscal/entrada-en-vigor-del-valor-de-referencia-fiscal-aspectos-practicos/" TargetMode="External"/><Relationship Id="rId13" Type="http://schemas.openxmlformats.org/officeDocument/2006/relationships/hyperlink" Target="https://www.boe.es/buscar/act.php?id=BOE-A-2004-4163&amp;p=20221224&amp;tn=1" TargetMode="External"/><Relationship Id="rId18" Type="http://schemas.openxmlformats.org/officeDocument/2006/relationships/hyperlink" Target="https://www.josemariasalcedo.com/valor-referencia-catastral-recurrir/" TargetMode="External"/><Relationship Id="rId39" Type="http://schemas.openxmlformats.org/officeDocument/2006/relationships/hyperlink" Target="https://noticias.juridicas.com/base_datos/Fiscal/l37-1992.t5.html" TargetMode="External"/><Relationship Id="rId34" Type="http://schemas.openxmlformats.org/officeDocument/2006/relationships/hyperlink" Target="https://noticias.juridicas.com/base_datos/Fiscal/l29-1987.html" TargetMode="External"/><Relationship Id="rId50" Type="http://schemas.openxmlformats.org/officeDocument/2006/relationships/hyperlink" Target="https://noticias.juridicas.com/base_datos/Admin/rdleg2-2004.t2.html" TargetMode="External"/><Relationship Id="rId55" Type="http://schemas.openxmlformats.org/officeDocument/2006/relationships/hyperlink" Target="https://noticias.juridicas.com/base_datos/Fiscal/r23-rdleg5-2004.html" TargetMode="External"/><Relationship Id="rId76" Type="http://schemas.openxmlformats.org/officeDocument/2006/relationships/hyperlink" Target="https://petete.tributos.hacienda.gob.es/consultas/?num_consulta=V2597-24" TargetMode="External"/><Relationship Id="rId7" Type="http://schemas.openxmlformats.org/officeDocument/2006/relationships/endnotes" Target="endnotes.xml"/><Relationship Id="rId71" Type="http://schemas.openxmlformats.org/officeDocument/2006/relationships/hyperlink" Target="https://www.notariosyregistradores.com/web/secciones/fiscal/informes-mensuales-fiscal/informe-fiscal-abril-2025-valor-de-referencia-y-extinciones-de-condominio-ajd-en-documentos-notariales-electronicos/" TargetMode="External"/><Relationship Id="rId2" Type="http://schemas.openxmlformats.org/officeDocument/2006/relationships/numbering" Target="numbering.xml"/><Relationship Id="rId29" Type="http://schemas.openxmlformats.org/officeDocument/2006/relationships/hyperlink" Target="https://noticias.juridicas.com/base_datos/Fiscal/r62-rdleg1-1993.t5.html" TargetMode="External"/><Relationship Id="rId24" Type="http://schemas.openxmlformats.org/officeDocument/2006/relationships/hyperlink" Target="https://www.tributasenasturias.es/imgvcm/stpa/PDF/Ficheros/Normativa/Decreto1212013.pdf" TargetMode="External"/><Relationship Id="rId40" Type="http://schemas.openxmlformats.org/officeDocument/2006/relationships/hyperlink" Target="https://noticias.juridicas.com/base_datos/Admin/r42-rdleg2-2004.t2.html" TargetMode="External"/><Relationship Id="rId45" Type="http://schemas.openxmlformats.org/officeDocument/2006/relationships/hyperlink" Target="https://noticias.juridicas.com/base_datos/Fiscal/l35-2006.t3.html" TargetMode="External"/><Relationship Id="rId66" Type="http://schemas.openxmlformats.org/officeDocument/2006/relationships/hyperlink" Target="https://noticias.juridicas.com/base_datos/Fiscal/rdleg1-1993.t5.html" TargetMode="External"/><Relationship Id="rId61" Type="http://schemas.openxmlformats.org/officeDocument/2006/relationships/hyperlink" Target="https://petete.tributos.hacienda.gob.es/consultas/?num_consulta=V0453-22" TargetMode="External"/><Relationship Id="rId82" Type="http://schemas.openxmlformats.org/officeDocument/2006/relationships/hyperlink" Target="https://petete.tributos.hacienda.gob.es/consultas/?num_consulta=V2597-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lantillas\NoNotari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E3DAC-9683-4175-859A-9D94A1EE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NoNotarial.dotm</Template>
  <TotalTime>1975</TotalTime>
  <Pages>6</Pages>
  <Words>4899</Words>
  <Characters>26117</Characters>
  <Application>Microsoft Office Word</Application>
  <DocSecurity>0</DocSecurity>
  <Lines>580</Lines>
  <Paragraphs>213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notario</dc:creator>
  <cp:keywords/>
  <dc:description/>
  <cp:lastModifiedBy>Vicente Martorell</cp:lastModifiedBy>
  <cp:revision>730</cp:revision>
  <cp:lastPrinted>2022-01-10T10:43:00Z</cp:lastPrinted>
  <dcterms:created xsi:type="dcterms:W3CDTF">2020-12-22T08:56:00Z</dcterms:created>
  <dcterms:modified xsi:type="dcterms:W3CDTF">2025-06-03T16:18:00Z</dcterms:modified>
</cp:coreProperties>
</file>