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7F" w:rsidRPr="00737D83" w:rsidRDefault="00087C78" w:rsidP="004D6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bookmarkStart w:id="0" w:name="_GoBack"/>
      <w:bookmarkEnd w:id="0"/>
      <w:r w:rsidRPr="00737D83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CUADRO </w:t>
      </w:r>
      <w:r w:rsidR="002D6C00" w:rsidRPr="00737D83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TR</w:t>
      </w:r>
      <w:r w:rsidR="002D3C3C" w:rsidRPr="00737D83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IBUTACIÓN INMOBILIARIA ANDALUZA</w:t>
      </w:r>
      <w:r w:rsidR="00516A6C" w:rsidRPr="00737D83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202</w:t>
      </w:r>
      <w:r w:rsidR="00C85AF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3</w:t>
      </w:r>
    </w:p>
    <w:p w:rsidR="004D617F" w:rsidRPr="00737D83" w:rsidRDefault="00734CED" w:rsidP="004D6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</w:pPr>
      <w:r w:rsidRPr="00737D83">
        <w:rPr>
          <w:rFonts w:ascii="Times New Roman" w:eastAsia="Times New Roman" w:hAnsi="Times New Roman" w:cs="Times New Roman"/>
          <w:b/>
          <w:i/>
          <w:sz w:val="26"/>
          <w:szCs w:val="26"/>
          <w:lang w:eastAsia="es-ES"/>
        </w:rPr>
        <w:t>Vicente Martorell. N</w:t>
      </w:r>
      <w:r w:rsidR="004D617F" w:rsidRPr="00737D83">
        <w:rPr>
          <w:rFonts w:ascii="Times New Roman" w:eastAsia="Times New Roman" w:hAnsi="Times New Roman" w:cs="Times New Roman"/>
          <w:b/>
          <w:i/>
          <w:sz w:val="26"/>
          <w:szCs w:val="26"/>
          <w:lang w:eastAsia="es-ES"/>
        </w:rPr>
        <w:t>otario</w:t>
      </w:r>
      <w:r w:rsidR="00B67D7B" w:rsidRPr="00737D83">
        <w:rPr>
          <w:rFonts w:ascii="Times New Roman" w:eastAsia="Times New Roman" w:hAnsi="Times New Roman" w:cs="Times New Roman"/>
          <w:b/>
          <w:i/>
          <w:sz w:val="26"/>
          <w:szCs w:val="26"/>
          <w:lang w:eastAsia="es-ES"/>
        </w:rPr>
        <w:t xml:space="preserve"> de Oviedo (antes, de Carboneras)</w:t>
      </w:r>
    </w:p>
    <w:p w:rsidR="005A6F72" w:rsidRDefault="005A6F72" w:rsidP="004D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37D83" w:rsidRDefault="00737D83" w:rsidP="004D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37D83" w:rsidRPr="004D617F" w:rsidRDefault="00737D83" w:rsidP="004D6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2252"/>
        <w:gridCol w:w="2032"/>
      </w:tblGrid>
      <w:tr w:rsidR="00C37A23" w:rsidRPr="004D617F" w:rsidTr="00102624">
        <w:trPr>
          <w:trHeight w:val="276"/>
        </w:trPr>
        <w:tc>
          <w:tcPr>
            <w:tcW w:w="3913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7A23" w:rsidRPr="004D617F" w:rsidRDefault="00C37A23" w:rsidP="004D617F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6"/>
                <w:szCs w:val="26"/>
                <w:lang w:val="es-ES_tradnl" w:eastAsia="es-ES"/>
              </w:rPr>
            </w:pPr>
          </w:p>
        </w:tc>
        <w:tc>
          <w:tcPr>
            <w:tcW w:w="428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CB9CA"/>
            <w:vAlign w:val="center"/>
          </w:tcPr>
          <w:p w:rsidR="00C37A23" w:rsidRDefault="00C37A23" w:rsidP="003C7437">
            <w:pPr>
              <w:overflowPunct w:val="0"/>
              <w:autoSpaceDE w:val="0"/>
              <w:autoSpaceDN w:val="0"/>
              <w:adjustRightInd w:val="0"/>
              <w:spacing w:before="40" w:after="0" w:line="22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</w:pPr>
            <w:r w:rsidRPr="00241A84"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ITPO y AJD inmuebles Andalucía</w:t>
            </w:r>
          </w:p>
          <w:p w:rsidR="007C286A" w:rsidRPr="003827E6" w:rsidRDefault="005A7476" w:rsidP="003827E6">
            <w:pPr>
              <w:overflowPunct w:val="0"/>
              <w:autoSpaceDE w:val="0"/>
              <w:autoSpaceDN w:val="0"/>
              <w:adjustRightInd w:val="0"/>
              <w:spacing w:after="60" w:line="22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4"/>
                <w:szCs w:val="24"/>
                <w:lang w:val="es-ES_tradnl" w:eastAsia="es-ES"/>
              </w:rPr>
            </w:pPr>
            <w:hyperlink r:id="rId7" w:anchor="a44" w:history="1">
              <w:r w:rsidR="004C4EA9" w:rsidRPr="003827E6">
                <w:rPr>
                  <w:rStyle w:val="Hipervnculo"/>
                  <w:rFonts w:ascii="CG Times (W1)" w:eastAsia="Times New Roman" w:hAnsi="CG Times (W1)" w:cs="Times New Roman"/>
                  <w:b/>
                  <w:spacing w:val="6"/>
                  <w:sz w:val="24"/>
                  <w:szCs w:val="24"/>
                  <w:lang w:val="es-ES_tradnl" w:eastAsia="es-ES"/>
                </w:rPr>
                <w:t>Ley 5/2021</w:t>
              </w:r>
            </w:hyperlink>
          </w:p>
        </w:tc>
      </w:tr>
      <w:tr w:rsidR="00C37A23" w:rsidRPr="004D617F" w:rsidTr="00102624">
        <w:trPr>
          <w:trHeight w:val="313"/>
        </w:trPr>
        <w:tc>
          <w:tcPr>
            <w:tcW w:w="391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7A23" w:rsidRPr="004D617F" w:rsidRDefault="00C37A23" w:rsidP="004D617F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6"/>
                <w:szCs w:val="26"/>
                <w:lang w:val="es-ES_tradnl" w:eastAsia="es-ES"/>
              </w:rPr>
            </w:pPr>
          </w:p>
        </w:tc>
        <w:tc>
          <w:tcPr>
            <w:tcW w:w="4284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CB9CA"/>
            <w:vAlign w:val="center"/>
          </w:tcPr>
          <w:p w:rsidR="00C37A23" w:rsidRPr="00BB2AEC" w:rsidRDefault="00A06E91" w:rsidP="00BE30E4">
            <w:pPr>
              <w:overflowPunct w:val="0"/>
              <w:autoSpaceDE w:val="0"/>
              <w:autoSpaceDN w:val="0"/>
              <w:adjustRightInd w:val="0"/>
              <w:spacing w:before="20" w:after="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lang w:val="es-ES_tradnl" w:eastAsia="es-ES"/>
              </w:rPr>
            </w:pPr>
            <w:r w:rsidRPr="00BB2AEC">
              <w:rPr>
                <w:rFonts w:ascii="CG Times (W1)" w:eastAsia="Times New Roman" w:hAnsi="CG Times (W1)" w:cs="Times New Roman"/>
                <w:spacing w:val="6"/>
                <w:lang w:val="es-ES_tradnl" w:eastAsia="es-ES"/>
              </w:rPr>
              <w:t>AJD préstamos hipotecarios: 1,2</w:t>
            </w:r>
            <w:r w:rsidR="00C37A23" w:rsidRPr="00BB2AEC">
              <w:rPr>
                <w:rFonts w:ascii="CG Times (W1)" w:eastAsia="Times New Roman" w:hAnsi="CG Times (W1)" w:cs="Times New Roman"/>
                <w:spacing w:val="6"/>
                <w:lang w:val="es-ES_tradnl" w:eastAsia="es-ES"/>
              </w:rPr>
              <w:t>%</w:t>
            </w:r>
          </w:p>
          <w:p w:rsidR="00076F0B" w:rsidRPr="0052309C" w:rsidRDefault="00A06E91" w:rsidP="00BE30E4">
            <w:pPr>
              <w:overflowPunct w:val="0"/>
              <w:autoSpaceDE w:val="0"/>
              <w:autoSpaceDN w:val="0"/>
              <w:adjustRightInd w:val="0"/>
              <w:spacing w:after="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</w:pPr>
            <w:r w:rsidRPr="0052309C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(</w:t>
            </w:r>
            <w:r w:rsidR="00B24551" w:rsidRPr="0052309C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desde 28/04/2021, antes 1,5%</w:t>
            </w:r>
            <w:r w:rsidR="00076F0B" w:rsidRPr="0052309C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)</w:t>
            </w:r>
          </w:p>
          <w:p w:rsidR="00A242FD" w:rsidRPr="004C4EA9" w:rsidRDefault="004C4EA9" w:rsidP="004C4EA9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16"/>
                <w:szCs w:val="16"/>
                <w:lang w:val="es-ES_tradnl" w:eastAsia="es-ES"/>
              </w:rPr>
            </w:pPr>
            <w:r w:rsidRPr="004C4EA9">
              <w:rPr>
                <w:rFonts w:ascii="CG Times (W1)" w:eastAsia="Times New Roman" w:hAnsi="CG Times (W1)" w:cs="Times New Roman"/>
                <w:spacing w:val="6"/>
                <w:sz w:val="16"/>
                <w:szCs w:val="16"/>
                <w:lang w:val="es-ES_tradnl" w:eastAsia="es-ES"/>
              </w:rPr>
              <w:t>Innecesidad liquidación cancelación hipoteca exenta</w:t>
            </w:r>
          </w:p>
        </w:tc>
      </w:tr>
      <w:tr w:rsidR="00573E0B" w:rsidRPr="004D617F" w:rsidTr="00102624">
        <w:trPr>
          <w:trHeight w:val="313"/>
        </w:trPr>
        <w:tc>
          <w:tcPr>
            <w:tcW w:w="3913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73E0B" w:rsidRPr="004D617F" w:rsidRDefault="00573E0B" w:rsidP="004D617F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6"/>
                <w:szCs w:val="26"/>
                <w:lang w:val="es-ES_tradnl" w:eastAsia="es-ES"/>
              </w:rPr>
            </w:pPr>
          </w:p>
        </w:tc>
        <w:tc>
          <w:tcPr>
            <w:tcW w:w="4284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CB9CA"/>
            <w:vAlign w:val="center"/>
          </w:tcPr>
          <w:p w:rsidR="00573E0B" w:rsidRDefault="00573E0B" w:rsidP="00BE30E4">
            <w:pPr>
              <w:overflowPunct w:val="0"/>
              <w:autoSpaceDE w:val="0"/>
              <w:autoSpaceDN w:val="0"/>
              <w:adjustRightInd w:val="0"/>
              <w:spacing w:before="20" w:after="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lang w:eastAsia="es-ES"/>
              </w:rPr>
            </w:pPr>
            <w:r>
              <w:rPr>
                <w:rFonts w:ascii="CG Times (W1)" w:eastAsia="Times New Roman" w:hAnsi="CG Times (W1)" w:cs="Times New Roman"/>
                <w:b/>
                <w:spacing w:val="6"/>
                <w:lang w:eastAsia="es-ES"/>
              </w:rPr>
              <w:t>Plazo de presentación 2 meses</w:t>
            </w:r>
          </w:p>
          <w:p w:rsidR="00573E0B" w:rsidRPr="00573E0B" w:rsidRDefault="00573E0B" w:rsidP="00573E0B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val="es-ES_tradnl" w:eastAsia="es-ES"/>
              </w:rPr>
            </w:pPr>
            <w:r w:rsidRPr="00573E0B"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eastAsia="es-ES"/>
              </w:rPr>
              <w:t>(desde 01/01/2022, antes 30 días hábiles)</w:t>
            </w:r>
          </w:p>
        </w:tc>
      </w:tr>
      <w:tr w:rsidR="00C37A23" w:rsidRPr="004D617F" w:rsidTr="00102624">
        <w:tc>
          <w:tcPr>
            <w:tcW w:w="391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A23" w:rsidRPr="004D617F" w:rsidRDefault="00C37A23" w:rsidP="004D617F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6"/>
                <w:szCs w:val="26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CB9CA"/>
            <w:vAlign w:val="center"/>
          </w:tcPr>
          <w:p w:rsidR="00C37A23" w:rsidRPr="004D617F" w:rsidRDefault="00C37A23" w:rsidP="004D617F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8"/>
                <w:szCs w:val="28"/>
                <w:lang w:val="es-ES_tradnl" w:eastAsia="es-ES"/>
              </w:rPr>
            </w:pPr>
            <w:r w:rsidRPr="004D617F">
              <w:rPr>
                <w:rFonts w:ascii="CG Times (W1)" w:eastAsia="Times New Roman" w:hAnsi="CG Times (W1)" w:cs="Times New Roman"/>
                <w:b/>
                <w:spacing w:val="6"/>
                <w:sz w:val="28"/>
                <w:szCs w:val="28"/>
                <w:lang w:val="es-ES_tradnl" w:eastAsia="es-ES"/>
              </w:rPr>
              <w:t>TPO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CB9CA"/>
            <w:vAlign w:val="center"/>
          </w:tcPr>
          <w:p w:rsidR="00C37A23" w:rsidRPr="004D617F" w:rsidRDefault="00C37A23" w:rsidP="004D617F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8"/>
                <w:szCs w:val="28"/>
                <w:lang w:val="es-ES_tradnl" w:eastAsia="es-ES"/>
              </w:rPr>
            </w:pPr>
            <w:r w:rsidRPr="004D617F">
              <w:rPr>
                <w:rFonts w:ascii="CG Times (W1)" w:eastAsia="Times New Roman" w:hAnsi="CG Times (W1)" w:cs="Times New Roman"/>
                <w:b/>
                <w:spacing w:val="6"/>
                <w:sz w:val="28"/>
                <w:szCs w:val="28"/>
                <w:lang w:val="es-ES_tradnl" w:eastAsia="es-ES"/>
              </w:rPr>
              <w:t>AJD</w:t>
            </w:r>
          </w:p>
        </w:tc>
      </w:tr>
      <w:tr w:rsidR="00656374" w:rsidRPr="004D617F" w:rsidTr="00656374">
        <w:trPr>
          <w:trHeight w:val="345"/>
        </w:trPr>
        <w:tc>
          <w:tcPr>
            <w:tcW w:w="391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374" w:rsidRPr="007E46C6" w:rsidRDefault="00656374" w:rsidP="00DC641F">
            <w:pPr>
              <w:overflowPunct w:val="0"/>
              <w:autoSpaceDE w:val="0"/>
              <w:autoSpaceDN w:val="0"/>
              <w:adjustRightInd w:val="0"/>
              <w:spacing w:before="20" w:after="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 w:rsidRPr="00DC641F">
              <w:rPr>
                <w:rFonts w:ascii="CG Times (W1)" w:eastAsia="Times New Roman" w:hAnsi="CG Times (W1)" w:cs="Times New Roman"/>
                <w:b/>
                <w:color w:val="FF0000"/>
                <w:spacing w:val="6"/>
                <w:lang w:val="es-ES_tradnl" w:eastAsia="es-ES"/>
              </w:rPr>
              <w:t xml:space="preserve"> </w:t>
            </w:r>
            <w:r w:rsidRPr="007E46C6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Inmuebles en general</w:t>
            </w:r>
          </w:p>
          <w:p w:rsidR="00656374" w:rsidRPr="00A35FD1" w:rsidRDefault="00656374" w:rsidP="00DC641F">
            <w:pPr>
              <w:overflowPunct w:val="0"/>
              <w:autoSpaceDE w:val="0"/>
              <w:autoSpaceDN w:val="0"/>
              <w:adjustRightInd w:val="0"/>
              <w:spacing w:after="2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000000" w:themeColor="text1"/>
                <w:spacing w:val="6"/>
                <w:lang w:val="es-ES_tradnl" w:eastAsia="es-ES"/>
              </w:rPr>
            </w:pPr>
            <w:r w:rsidRPr="00A35FD1">
              <w:rPr>
                <w:rFonts w:ascii="CG Times (W1)" w:eastAsia="Times New Roman" w:hAnsi="CG Times (W1)" w:cs="Times New Roman"/>
                <w:color w:val="000000" w:themeColor="text1"/>
                <w:spacing w:val="6"/>
                <w:lang w:val="es-ES_tradnl" w:eastAsia="es-ES"/>
              </w:rPr>
              <w:t>desde 28/04/2021 y 27/10/2021</w:t>
            </w:r>
          </w:p>
          <w:p w:rsidR="00656374" w:rsidRPr="00B67D7B" w:rsidRDefault="005A7476" w:rsidP="00BB4EEB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FF0000"/>
                <w:spacing w:val="6"/>
                <w:sz w:val="24"/>
                <w:szCs w:val="24"/>
                <w:lang w:val="es-ES_tradnl" w:eastAsia="es-ES"/>
              </w:rPr>
            </w:pPr>
            <w:hyperlink r:id="rId8" w:history="1">
              <w:r w:rsidR="00656374" w:rsidRPr="00A35FD1">
                <w:rPr>
                  <w:rStyle w:val="Hipervnculo"/>
                  <w:rFonts w:ascii="CG Times (W1)" w:eastAsia="Times New Roman" w:hAnsi="CG Times (W1)" w:cs="Times New Roman"/>
                  <w:spacing w:val="6"/>
                  <w:lang w:val="es-ES_tradnl" w:eastAsia="es-ES"/>
                </w:rPr>
                <w:t>DL 7/2021</w:t>
              </w:r>
            </w:hyperlink>
            <w:r w:rsidR="00656374" w:rsidRPr="00A35FD1">
              <w:rPr>
                <w:rFonts w:ascii="CG Times (W1)" w:eastAsia="Times New Roman" w:hAnsi="CG Times (W1)" w:cs="Times New Roman"/>
                <w:color w:val="000000" w:themeColor="text1"/>
                <w:spacing w:val="6"/>
                <w:lang w:val="es-ES_tradnl" w:eastAsia="es-ES"/>
              </w:rPr>
              <w:t xml:space="preserve"> y </w:t>
            </w:r>
            <w:hyperlink r:id="rId9" w:history="1">
              <w:r w:rsidR="00656374" w:rsidRPr="00A35FD1">
                <w:rPr>
                  <w:rStyle w:val="Hipervnculo"/>
                  <w:rFonts w:ascii="CG Times (W1)" w:eastAsia="Times New Roman" w:hAnsi="CG Times (W1)" w:cs="Times New Roman"/>
                  <w:spacing w:val="6"/>
                  <w:lang w:val="es-ES_tradnl" w:eastAsia="es-ES"/>
                </w:rPr>
                <w:t>arts. 41 y 49 Ley 5/2021</w:t>
              </w:r>
            </w:hyperlink>
          </w:p>
        </w:tc>
        <w:tc>
          <w:tcPr>
            <w:tcW w:w="2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56374" w:rsidRDefault="00656374" w:rsidP="00E74A42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7%</w:t>
            </w:r>
          </w:p>
          <w:p w:rsidR="00DA6205" w:rsidRPr="00DA6205" w:rsidRDefault="00DA6205" w:rsidP="00DA6205">
            <w:pPr>
              <w:overflowPunct w:val="0"/>
              <w:autoSpaceDE w:val="0"/>
              <w:autoSpaceDN w:val="0"/>
              <w:adjustRightInd w:val="0"/>
              <w:spacing w:after="4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</w:pPr>
            <w:r w:rsidRPr="00DA6205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en arrendamientos 0,3% desde 01/01/2022</w:t>
            </w:r>
          </w:p>
        </w:tc>
        <w:tc>
          <w:tcPr>
            <w:tcW w:w="20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6374" w:rsidRPr="00E74A42" w:rsidRDefault="00E74A42" w:rsidP="00E74A4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1,2%</w:t>
            </w:r>
          </w:p>
        </w:tc>
      </w:tr>
      <w:tr w:rsidR="00656374" w:rsidRPr="004D617F" w:rsidTr="005D4760">
        <w:trPr>
          <w:trHeight w:val="344"/>
        </w:trPr>
        <w:tc>
          <w:tcPr>
            <w:tcW w:w="39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374" w:rsidRPr="00DC641F" w:rsidRDefault="00656374" w:rsidP="00DC641F">
            <w:pPr>
              <w:overflowPunct w:val="0"/>
              <w:autoSpaceDE w:val="0"/>
              <w:autoSpaceDN w:val="0"/>
              <w:adjustRightInd w:val="0"/>
              <w:spacing w:before="20" w:after="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FF0000"/>
                <w:spacing w:val="6"/>
                <w:lang w:val="es-ES_tradnl" w:eastAsia="es-ES"/>
              </w:rPr>
            </w:pPr>
          </w:p>
        </w:tc>
        <w:tc>
          <w:tcPr>
            <w:tcW w:w="225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374" w:rsidRPr="0052309C" w:rsidRDefault="00656374" w:rsidP="003F26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 w:rsidRPr="00A41C8F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 8-9-10% por tramos</w:t>
            </w:r>
          </w:p>
        </w:tc>
        <w:tc>
          <w:tcPr>
            <w:tcW w:w="203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374" w:rsidRPr="007E46C6" w:rsidRDefault="00E74A42" w:rsidP="003F269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 w:rsidRPr="00A41C8F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 1,5%</w:t>
            </w:r>
          </w:p>
        </w:tc>
      </w:tr>
      <w:tr w:rsidR="00E74A42" w:rsidRPr="004D617F" w:rsidTr="005D4760">
        <w:trPr>
          <w:trHeight w:val="576"/>
        </w:trPr>
        <w:tc>
          <w:tcPr>
            <w:tcW w:w="39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74A42" w:rsidRPr="00A35FD1" w:rsidRDefault="00E74A42" w:rsidP="00222666">
            <w:pPr>
              <w:overflowPunct w:val="0"/>
              <w:autoSpaceDE w:val="0"/>
              <w:autoSpaceDN w:val="0"/>
              <w:adjustRightInd w:val="0"/>
              <w:spacing w:before="20" w:after="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 w:rsidRPr="00A35FD1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Vivienda habitual</w:t>
            </w:r>
          </w:p>
          <w:p w:rsidR="00E74A42" w:rsidRPr="00A35FD1" w:rsidRDefault="00E74A42" w:rsidP="0096712E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000000" w:themeColor="text1"/>
                <w:spacing w:val="6"/>
                <w:lang w:val="es-ES_tradnl" w:eastAsia="es-ES"/>
              </w:rPr>
            </w:pPr>
            <w:r w:rsidRPr="00A35FD1">
              <w:rPr>
                <w:rFonts w:ascii="CG Times (W1)" w:eastAsia="Times New Roman" w:hAnsi="CG Times (W1)" w:cs="Times New Roman"/>
                <w:color w:val="000000" w:themeColor="text1"/>
                <w:spacing w:val="6"/>
                <w:lang w:val="es-ES_tradnl" w:eastAsia="es-ES"/>
              </w:rPr>
              <w:t>desde 27/10/2021</w:t>
            </w:r>
          </w:p>
          <w:p w:rsidR="00E74A42" w:rsidRPr="005006A9" w:rsidRDefault="00E74A42" w:rsidP="00836C8B">
            <w:pPr>
              <w:overflowPunct w:val="0"/>
              <w:autoSpaceDE w:val="0"/>
              <w:autoSpaceDN w:val="0"/>
              <w:adjustRightInd w:val="0"/>
              <w:spacing w:after="60" w:line="16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  <w:t xml:space="preserve">Valor del 100% de la vivienda. Se suman garajes y anejos adquiridos conjuntamente. En </w:t>
            </w:r>
            <w:r w:rsidRPr="00464916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  <w:t>matrimonio o pareja 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  <w:t xml:space="preserve"> hecho registrada basta uno. También en los nuevos supuestos relativos a vivienda habitual.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E74A42" w:rsidRPr="002B150D" w:rsidRDefault="00E74A42" w:rsidP="000F288F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 w:rsidRPr="002B150D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6%</w:t>
            </w:r>
          </w:p>
          <w:p w:rsidR="00E74A42" w:rsidRPr="002B150D" w:rsidRDefault="00E74A42" w:rsidP="00E74A42">
            <w:pPr>
              <w:overflowPunct w:val="0"/>
              <w:autoSpaceDE w:val="0"/>
              <w:autoSpaceDN w:val="0"/>
              <w:adjustRightInd w:val="0"/>
              <w:spacing w:after="6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</w:pPr>
            <w:r w:rsidRPr="002B150D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si valor no superior a 150.000 €</w:t>
            </w:r>
          </w:p>
        </w:tc>
        <w:tc>
          <w:tcPr>
            <w:tcW w:w="2032" w:type="dxa"/>
            <w:tcBorders>
              <w:top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74A42" w:rsidRPr="002B150D" w:rsidRDefault="00E74A42" w:rsidP="000E32F6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 w:rsidRPr="002B150D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1%</w:t>
            </w:r>
          </w:p>
          <w:p w:rsidR="00E74A42" w:rsidRPr="006157CB" w:rsidRDefault="00E74A42" w:rsidP="006157CB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</w:pPr>
            <w:r w:rsidRPr="002B150D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s</w:t>
            </w:r>
            <w:r w:rsidR="006157CB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i valor no superior a 150.000 €</w:t>
            </w:r>
          </w:p>
        </w:tc>
      </w:tr>
      <w:tr w:rsidR="00E74A42" w:rsidRPr="004D617F" w:rsidTr="00E74A42">
        <w:trPr>
          <w:trHeight w:val="576"/>
        </w:trPr>
        <w:tc>
          <w:tcPr>
            <w:tcW w:w="39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74A42" w:rsidRPr="000F288F" w:rsidRDefault="00E74A42" w:rsidP="00222666">
            <w:pPr>
              <w:overflowPunct w:val="0"/>
              <w:autoSpaceDE w:val="0"/>
              <w:autoSpaceDN w:val="0"/>
              <w:adjustRightInd w:val="0"/>
              <w:spacing w:before="20" w:after="0" w:line="24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FF0000"/>
                <w:spacing w:val="6"/>
                <w:sz w:val="24"/>
                <w:szCs w:val="24"/>
                <w:lang w:val="es-ES_tradnl" w:eastAsia="es-ES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74A42" w:rsidRPr="002B150D" w:rsidRDefault="00E74A42" w:rsidP="00F22565">
            <w:pPr>
              <w:overflowPunct w:val="0"/>
              <w:autoSpaceDE w:val="0"/>
              <w:autoSpaceDN w:val="0"/>
              <w:adjustRightInd w:val="0"/>
              <w:spacing w:after="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</w:pPr>
            <w:r w:rsidRPr="002B150D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 7% si valor no superior a 130.000 €</w:t>
            </w:r>
          </w:p>
        </w:tc>
        <w:tc>
          <w:tcPr>
            <w:tcW w:w="203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74A42" w:rsidRPr="002B150D" w:rsidRDefault="002B150D" w:rsidP="00F22565">
            <w:pPr>
              <w:overflowPunct w:val="0"/>
              <w:autoSpaceDE w:val="0"/>
              <w:autoSpaceDN w:val="0"/>
              <w:adjustRightInd w:val="0"/>
              <w:spacing w:after="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</w:pPr>
            <w:r w:rsidRPr="002B150D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 1,2% si valor no superior a 130.000 €</w:t>
            </w:r>
          </w:p>
        </w:tc>
      </w:tr>
      <w:tr w:rsidR="00A5465B" w:rsidRPr="004D617F" w:rsidTr="00F12185">
        <w:trPr>
          <w:trHeight w:val="363"/>
        </w:trPr>
        <w:tc>
          <w:tcPr>
            <w:tcW w:w="391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35FD1" w:rsidRDefault="00A5465B" w:rsidP="00A35FD1">
            <w:pPr>
              <w:overflowPunct w:val="0"/>
              <w:autoSpaceDE w:val="0"/>
              <w:autoSpaceDN w:val="0"/>
              <w:adjustRightInd w:val="0"/>
              <w:spacing w:before="60"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</w:pPr>
            <w:r w:rsidRPr="005006A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  <w:t>Vivienda habitual</w:t>
            </w:r>
            <w:r w:rsidR="005E1613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  <w:t xml:space="preserve"> </w:t>
            </w:r>
          </w:p>
          <w:p w:rsidR="00A35FD1" w:rsidRDefault="00A5465B" w:rsidP="0082128A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  <w:t>para menor de 35 años</w:t>
            </w:r>
            <w:r w:rsidR="005E1613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  <w:t xml:space="preserve"> </w:t>
            </w:r>
          </w:p>
          <w:p w:rsidR="0096712E" w:rsidRPr="00A35FD1" w:rsidRDefault="005E1613" w:rsidP="0082128A">
            <w:pPr>
              <w:overflowPunct w:val="0"/>
              <w:autoSpaceDE w:val="0"/>
              <w:autoSpaceDN w:val="0"/>
              <w:adjustRightInd w:val="0"/>
              <w:spacing w:after="60" w:line="22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000000" w:themeColor="text1"/>
                <w:spacing w:val="6"/>
                <w:lang w:val="es-ES_tradnl" w:eastAsia="es-ES"/>
              </w:rPr>
            </w:pPr>
            <w:r w:rsidRPr="00A35FD1">
              <w:rPr>
                <w:rFonts w:ascii="CG Times (W1)" w:eastAsia="Times New Roman" w:hAnsi="CG Times (W1)" w:cs="Times New Roman"/>
                <w:color w:val="000000" w:themeColor="text1"/>
                <w:spacing w:val="6"/>
                <w:lang w:val="es-ES_tradnl" w:eastAsia="es-ES"/>
              </w:rPr>
              <w:t>desde 27/10/2021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A5465B" w:rsidRDefault="00CE70F8" w:rsidP="00E117B2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3,5</w:t>
            </w:r>
            <w:r w:rsidR="00A5465B"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%</w:t>
            </w:r>
          </w:p>
          <w:p w:rsidR="005E1613" w:rsidRDefault="005E1613" w:rsidP="00E259AE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si valor no superior a 15</w:t>
            </w:r>
            <w:r w:rsidR="00A5465B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0.000 €</w:t>
            </w:r>
            <w:r w:rsidR="00337942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 </w:t>
            </w:r>
          </w:p>
          <w:p w:rsidR="00A5465B" w:rsidRPr="00C151B1" w:rsidRDefault="00337942" w:rsidP="00E259AE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val="es-ES_tradnl" w:eastAsia="es-ES"/>
              </w:rPr>
            </w:pP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(</w:t>
            </w:r>
            <w:r w:rsidR="005E1613"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 130.000</w:t>
            </w:r>
            <w:r w:rsidR="00C151B1"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 xml:space="preserve"> €</w:t>
            </w: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2032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465B" w:rsidRDefault="00CE70F8" w:rsidP="00E117B2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0,3</w:t>
            </w:r>
            <w:r w:rsidR="00A5465B" w:rsidRPr="0016789F"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%</w:t>
            </w:r>
          </w:p>
          <w:p w:rsidR="00C151B1" w:rsidRPr="00C151B1" w:rsidRDefault="005E1613" w:rsidP="00E259AE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</w:pPr>
            <w:r w:rsidRPr="00C151B1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si valor no superior a 15</w:t>
            </w:r>
            <w:r w:rsidR="00A56D92" w:rsidRPr="00C151B1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0.000 € </w:t>
            </w:r>
          </w:p>
          <w:p w:rsidR="00A5465B" w:rsidRPr="00674C1B" w:rsidRDefault="00A56D92" w:rsidP="00E259AE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val="es-ES_tradnl" w:eastAsia="es-ES"/>
              </w:rPr>
            </w:pP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(</w:t>
            </w:r>
            <w:r w:rsidR="005E1613"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</w:t>
            </w:r>
            <w:r w:rsidR="00C151B1"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 xml:space="preserve"> 130.000 € </w:t>
            </w: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)</w:t>
            </w:r>
          </w:p>
        </w:tc>
      </w:tr>
      <w:tr w:rsidR="00982349" w:rsidRPr="004D617F" w:rsidTr="00F12185">
        <w:trPr>
          <w:trHeight w:val="363"/>
        </w:trPr>
        <w:tc>
          <w:tcPr>
            <w:tcW w:w="39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2349" w:rsidRDefault="00982349" w:rsidP="00083674">
            <w:pPr>
              <w:overflowPunct w:val="0"/>
              <w:autoSpaceDE w:val="0"/>
              <w:autoSpaceDN w:val="0"/>
              <w:adjustRightInd w:val="0"/>
              <w:spacing w:before="60"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</w:pPr>
            <w:r w:rsidRPr="005006A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  <w:t>Vivienda habitual</w:t>
            </w:r>
          </w:p>
          <w:p w:rsidR="00982349" w:rsidRPr="00007059" w:rsidRDefault="00EF4D33" w:rsidP="00083674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</w:pPr>
            <w:r w:rsidRP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p</w:t>
            </w:r>
            <w:r w:rsidR="00982349" w:rsidRP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ara</w:t>
            </w:r>
            <w:r w:rsidRP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 xml:space="preserve"> persona con</w:t>
            </w:r>
            <w:r w:rsidR="00982349" w:rsidRP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 xml:space="preserve"> discapaci</w:t>
            </w:r>
            <w:r w:rsidRP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dad</w:t>
            </w:r>
            <w:r w:rsidR="00982349" w:rsidRP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 xml:space="preserve"> </w:t>
            </w:r>
            <w:r w:rsid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[</w:t>
            </w:r>
            <w:r w:rsidR="00982349" w:rsidRP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33%</w:t>
            </w:r>
            <w:r w:rsid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]</w:t>
            </w:r>
          </w:p>
          <w:p w:rsidR="00982349" w:rsidRPr="00007059" w:rsidRDefault="005E1613" w:rsidP="00A35FD1">
            <w:pPr>
              <w:overflowPunct w:val="0"/>
              <w:autoSpaceDE w:val="0"/>
              <w:autoSpaceDN w:val="0"/>
              <w:adjustRightInd w:val="0"/>
              <w:spacing w:after="6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</w:pPr>
            <w:r w:rsidRPr="00A35FD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desde 27/10</w:t>
            </w:r>
            <w:r w:rsidR="005123F2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/</w:t>
            </w:r>
            <w:r w:rsidRPr="00A35FD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2021</w:t>
            </w:r>
          </w:p>
        </w:tc>
        <w:tc>
          <w:tcPr>
            <w:tcW w:w="22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82349" w:rsidRDefault="00982349" w:rsidP="00771DC8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3,5%</w:t>
            </w:r>
          </w:p>
          <w:p w:rsidR="00982349" w:rsidRDefault="00423D3F" w:rsidP="00A67335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FF0000"/>
                <w:spacing w:val="6"/>
                <w:sz w:val="20"/>
                <w:szCs w:val="20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si valor no superior a 250</w:t>
            </w:r>
            <w:r w:rsidR="00982349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.000 €</w:t>
            </w:r>
          </w:p>
          <w:p w:rsidR="00423D3F" w:rsidRPr="009C562F" w:rsidRDefault="00423D3F" w:rsidP="005A7D6F">
            <w:pPr>
              <w:overflowPunct w:val="0"/>
              <w:autoSpaceDE w:val="0"/>
              <w:autoSpaceDN w:val="0"/>
              <w:adjustRightInd w:val="0"/>
              <w:spacing w:after="6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</w:pP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(</w:t>
            </w:r>
            <w:r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 18</w:t>
            </w: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0.000 €)</w:t>
            </w:r>
          </w:p>
        </w:tc>
        <w:tc>
          <w:tcPr>
            <w:tcW w:w="20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2349" w:rsidRDefault="00771DC8" w:rsidP="00771DC8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0,1</w:t>
            </w:r>
            <w:r w:rsidR="00982349" w:rsidRPr="0016789F"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%</w:t>
            </w:r>
          </w:p>
          <w:p w:rsidR="00423D3F" w:rsidRDefault="00423D3F" w:rsidP="00423D3F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FF0000"/>
                <w:spacing w:val="6"/>
                <w:sz w:val="20"/>
                <w:szCs w:val="20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si valor no superior a 250.000 €</w:t>
            </w:r>
          </w:p>
          <w:p w:rsidR="00982349" w:rsidRPr="00A67335" w:rsidRDefault="00423D3F" w:rsidP="00423D3F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val="es-ES_tradnl" w:eastAsia="es-ES"/>
              </w:rPr>
            </w:pP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(</w:t>
            </w:r>
            <w:r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 18</w:t>
            </w: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0.000 €)</w:t>
            </w:r>
          </w:p>
        </w:tc>
      </w:tr>
      <w:tr w:rsidR="00354963" w:rsidRPr="004D617F" w:rsidTr="00F12185">
        <w:trPr>
          <w:trHeight w:val="363"/>
        </w:trPr>
        <w:tc>
          <w:tcPr>
            <w:tcW w:w="39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4963" w:rsidRDefault="00354963" w:rsidP="00354963">
            <w:pPr>
              <w:overflowPunct w:val="0"/>
              <w:autoSpaceDE w:val="0"/>
              <w:autoSpaceDN w:val="0"/>
              <w:adjustRightInd w:val="0"/>
              <w:spacing w:before="60"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</w:pPr>
            <w:r w:rsidRPr="005006A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  <w:t>Vivienda habitual</w:t>
            </w:r>
          </w:p>
          <w:p w:rsidR="00354963" w:rsidRDefault="00354963" w:rsidP="00354963">
            <w:pPr>
              <w:overflowPunct w:val="0"/>
              <w:autoSpaceDE w:val="0"/>
              <w:autoSpaceDN w:val="0"/>
              <w:adjustRightInd w:val="0"/>
              <w:spacing w:after="6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</w:pPr>
            <w:r w:rsidRPr="00007059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para familia numerosa</w:t>
            </w:r>
            <w:r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 xml:space="preserve"> [</w:t>
            </w:r>
            <w:hyperlink r:id="rId10" w:history="1">
              <w:r w:rsidRPr="00FF101F">
                <w:rPr>
                  <w:rStyle w:val="Hipervnculo"/>
                  <w:rFonts w:ascii="CG Times (W1)" w:eastAsia="Times New Roman" w:hAnsi="CG Times (W1)" w:cs="Times New Roman"/>
                  <w:b/>
                  <w:spacing w:val="6"/>
                  <w:sz w:val="20"/>
                  <w:szCs w:val="20"/>
                  <w:lang w:val="es-ES_tradnl" w:eastAsia="es-ES"/>
                </w:rPr>
                <w:t>Ley 40/2003</w:t>
              </w:r>
            </w:hyperlink>
            <w:r w:rsidRPr="00A35FD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] desde 27/10</w:t>
            </w:r>
            <w:r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/</w:t>
            </w:r>
            <w:r w:rsidRPr="00A35FD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2021</w:t>
            </w:r>
          </w:p>
          <w:p w:rsidR="004C3F78" w:rsidRPr="00007059" w:rsidRDefault="004C3F78" w:rsidP="006C6427">
            <w:pPr>
              <w:overflowPunct w:val="0"/>
              <w:autoSpaceDE w:val="0"/>
              <w:autoSpaceDN w:val="0"/>
              <w:adjustRightInd w:val="0"/>
              <w:spacing w:after="6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(la Ley 1/2022 específica desde 2023 que ha</w:t>
            </w:r>
            <w:r w:rsidR="00FC1E9D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 xml:space="preserve"> de destinarse a vivienda de “dicha familia numerosa” y no de “su familia”)</w:t>
            </w:r>
          </w:p>
        </w:tc>
        <w:tc>
          <w:tcPr>
            <w:tcW w:w="22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54963" w:rsidRDefault="00354963" w:rsidP="00354963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3,5%</w:t>
            </w:r>
          </w:p>
          <w:p w:rsidR="00354963" w:rsidRDefault="00354963" w:rsidP="00354963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FF0000"/>
                <w:spacing w:val="6"/>
                <w:sz w:val="20"/>
                <w:szCs w:val="20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si valor no superior a 250.000 €</w:t>
            </w:r>
          </w:p>
          <w:p w:rsidR="00354963" w:rsidRPr="009C562F" w:rsidRDefault="00354963" w:rsidP="00354963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</w:pP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(</w:t>
            </w:r>
            <w:r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 18</w:t>
            </w: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0.000 €)</w:t>
            </w:r>
          </w:p>
        </w:tc>
        <w:tc>
          <w:tcPr>
            <w:tcW w:w="203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54963" w:rsidRDefault="00354963" w:rsidP="00354963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0,1</w:t>
            </w:r>
            <w:r w:rsidRPr="0016789F">
              <w:rPr>
                <w:rFonts w:ascii="CG Times (W1)" w:eastAsia="Times New Roman" w:hAnsi="CG Times (W1)" w:cs="Times New Roman"/>
                <w:b/>
                <w:spacing w:val="6"/>
                <w:sz w:val="26"/>
                <w:szCs w:val="26"/>
                <w:lang w:val="es-ES_tradnl" w:eastAsia="es-ES"/>
              </w:rPr>
              <w:t>%</w:t>
            </w:r>
          </w:p>
          <w:p w:rsidR="00354963" w:rsidRDefault="00354963" w:rsidP="00354963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FF0000"/>
                <w:spacing w:val="6"/>
                <w:sz w:val="20"/>
                <w:szCs w:val="20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si valor no superior a 250.000 €</w:t>
            </w:r>
          </w:p>
          <w:p w:rsidR="00354963" w:rsidRPr="00A67335" w:rsidRDefault="00354963" w:rsidP="00354963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val="es-ES_tradnl" w:eastAsia="es-ES"/>
              </w:rPr>
            </w:pP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(</w:t>
            </w:r>
            <w:r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antes 18</w:t>
            </w:r>
            <w:r w:rsidRPr="00C151B1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0.000 €)</w:t>
            </w:r>
          </w:p>
        </w:tc>
      </w:tr>
      <w:tr w:rsidR="00175178" w:rsidRPr="004D617F" w:rsidTr="00C51B44">
        <w:trPr>
          <w:trHeight w:val="363"/>
        </w:trPr>
        <w:tc>
          <w:tcPr>
            <w:tcW w:w="391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B1D89" w:rsidRPr="00404425" w:rsidRDefault="00175178" w:rsidP="002013EB">
            <w:pPr>
              <w:overflowPunct w:val="0"/>
              <w:autoSpaceDE w:val="0"/>
              <w:autoSpaceDN w:val="0"/>
              <w:adjustRightInd w:val="0"/>
              <w:spacing w:before="60" w:after="6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FF0000"/>
                <w:spacing w:val="6"/>
                <w:lang w:val="es-ES_tradnl" w:eastAsia="es-ES"/>
              </w:rPr>
            </w:pPr>
            <w:r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>Vivienda habitual</w:t>
            </w:r>
            <w:r w:rsidR="00404425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</w:t>
            </w:r>
            <w:r w:rsidR="00C90A29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>para víctima</w:t>
            </w:r>
            <w:r w:rsidR="00BC060C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</w:t>
            </w:r>
            <w:r w:rsidR="00D57E87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>violencia doméstica</w:t>
            </w:r>
            <w:r w:rsidR="008669C3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</w:t>
            </w:r>
            <w:r w:rsidR="008669C3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[</w:t>
            </w:r>
            <w:hyperlink r:id="rId11" w:history="1">
              <w:r w:rsidR="008669C3" w:rsidRPr="0046321C">
                <w:rPr>
                  <w:rStyle w:val="Hipervnculo"/>
                  <w:rFonts w:ascii="CG Times (W1)" w:eastAsia="Times New Roman" w:hAnsi="CG Times (W1)" w:cs="Times New Roman"/>
                  <w:b/>
                  <w:spacing w:val="6"/>
                  <w:sz w:val="18"/>
                  <w:szCs w:val="18"/>
                  <w:lang w:val="es-ES_tradnl" w:eastAsia="es-ES"/>
                </w:rPr>
                <w:t>art. 6</w:t>
              </w:r>
            </w:hyperlink>
            <w:r w:rsidR="008669C3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]</w:t>
            </w:r>
            <w:r w:rsidR="00404425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>, o</w:t>
            </w:r>
            <w:r w:rsidR="008C2CB0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para</w:t>
            </w:r>
            <w:r w:rsidR="00404425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víctima</w:t>
            </w:r>
            <w:r w:rsidR="00BC060C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o afectado</w:t>
            </w:r>
            <w:r w:rsidR="00627890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</w:t>
            </w:r>
            <w:r w:rsidR="00BC060C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</w:t>
            </w:r>
            <w:r w:rsidR="00C90A29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>terrorism</w:t>
            </w:r>
            <w:r w:rsidR="00BE6089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>o</w:t>
            </w:r>
            <w:r w:rsidR="00BC060C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</w:t>
            </w:r>
            <w:r w:rsidR="00BC060C" w:rsidRPr="00423D3F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[</w:t>
            </w:r>
            <w:hyperlink r:id="rId12" w:history="1">
              <w:r w:rsidR="00BC060C" w:rsidRPr="00D57E87">
                <w:rPr>
                  <w:rStyle w:val="Hipervnculo"/>
                  <w:rFonts w:ascii="CG Times (W1)" w:eastAsia="Times New Roman" w:hAnsi="CG Times (W1)" w:cs="Times New Roman"/>
                  <w:b/>
                  <w:spacing w:val="6"/>
                  <w:sz w:val="18"/>
                  <w:szCs w:val="18"/>
                  <w:lang w:val="es-ES_tradnl" w:eastAsia="es-ES"/>
                </w:rPr>
                <w:t>art. 7</w:t>
              </w:r>
            </w:hyperlink>
            <w:r w:rsidR="00093D2F" w:rsidRPr="00A6677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]</w:t>
            </w:r>
            <w:r w:rsidR="00404425" w:rsidRPr="00A6677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>, o en municipio despoblado</w:t>
            </w:r>
            <w:r w:rsidR="00007059" w:rsidRPr="00A6677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 xml:space="preserve"> </w:t>
            </w:r>
            <w:r w:rsidR="00007059" w:rsidRPr="00A6677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[</w:t>
            </w:r>
            <w:hyperlink r:id="rId13" w:history="1">
              <w:r w:rsidR="008669C3" w:rsidRPr="0046321C">
                <w:rPr>
                  <w:rStyle w:val="Hipervnculo"/>
                  <w:rFonts w:ascii="CG Times (W1)" w:eastAsia="Times New Roman" w:hAnsi="CG Times (W1)" w:cs="Times New Roman"/>
                  <w:b/>
                  <w:spacing w:val="6"/>
                  <w:sz w:val="18"/>
                  <w:szCs w:val="18"/>
                  <w:lang w:val="es-ES_tradnl" w:eastAsia="es-ES"/>
                </w:rPr>
                <w:t>art. 8</w:t>
              </w:r>
            </w:hyperlink>
            <w:r w:rsidR="008669C3" w:rsidRPr="00BC060C">
              <w:rPr>
                <w:rFonts w:ascii="CG Times (W1)" w:eastAsia="Times New Roman" w:hAnsi="CG Times (W1)" w:cs="Times New Roman"/>
                <w:b/>
                <w:color w:val="FF0000"/>
                <w:spacing w:val="6"/>
                <w:sz w:val="18"/>
                <w:szCs w:val="18"/>
                <w:lang w:val="es-ES_tradnl" w:eastAsia="es-ES"/>
              </w:rPr>
              <w:t xml:space="preserve"> </w:t>
            </w:r>
            <w:r w:rsidR="008669C3" w:rsidRPr="00A6677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 xml:space="preserve">y </w:t>
            </w:r>
            <w:hyperlink r:id="rId14" w:history="1">
              <w:r w:rsidR="00007059" w:rsidRPr="00075A1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val="es-ES_tradnl" w:eastAsia="es-ES"/>
                </w:rPr>
                <w:t>Resolución 2</w:t>
              </w:r>
              <w:r w:rsidR="002013EB" w:rsidRPr="00075A1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val="es-ES_tradnl" w:eastAsia="es-ES"/>
                </w:rPr>
                <w:t>3</w:t>
              </w:r>
              <w:r w:rsidR="00007059" w:rsidRPr="00075A1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val="es-ES_tradnl" w:eastAsia="es-ES"/>
                </w:rPr>
                <w:t>/1</w:t>
              </w:r>
              <w:r w:rsidR="002013EB" w:rsidRPr="00075A1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val="es-ES_tradnl" w:eastAsia="es-ES"/>
                </w:rPr>
                <w:t>2</w:t>
              </w:r>
              <w:r w:rsidR="00007059" w:rsidRPr="00075A1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val="es-ES_tradnl" w:eastAsia="es-ES"/>
                </w:rPr>
                <w:t>/202</w:t>
              </w:r>
              <w:r w:rsidR="002013EB" w:rsidRPr="00075A1E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val="es-ES_tradnl" w:eastAsia="es-ES"/>
                </w:rPr>
                <w:t>2</w:t>
              </w:r>
            </w:hyperlink>
            <w:r w:rsidR="00007059" w:rsidRPr="00A667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ES_tradnl" w:eastAsia="es-ES"/>
              </w:rPr>
              <w:t>]</w:t>
            </w:r>
            <w:r w:rsidR="008040D7" w:rsidRPr="00A52C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"/>
              </w:rPr>
              <w:t>,</w:t>
            </w:r>
            <w:r w:rsidR="00093D2F" w:rsidRPr="00A52C67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 xml:space="preserve"> </w:t>
            </w:r>
            <w:r w:rsidR="005346DB" w:rsidRPr="00A52C67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desde 27/10/2021</w:t>
            </w:r>
          </w:p>
        </w:tc>
        <w:tc>
          <w:tcPr>
            <w:tcW w:w="225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346DB" w:rsidRPr="00A6677B" w:rsidRDefault="005346DB" w:rsidP="005346DB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 w:rsidRPr="00A6677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3,5%</w:t>
            </w:r>
          </w:p>
          <w:p w:rsidR="00175178" w:rsidRPr="009C562F" w:rsidRDefault="005346DB" w:rsidP="00BE6089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</w:pPr>
            <w:r w:rsidRPr="00A6677B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si valor no superior a 150.000 €</w:t>
            </w:r>
          </w:p>
        </w:tc>
        <w:tc>
          <w:tcPr>
            <w:tcW w:w="203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5178" w:rsidRPr="00A6677B" w:rsidRDefault="00175178" w:rsidP="00D429A2">
            <w:pPr>
              <w:overflowPunct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</w:pPr>
            <w:r w:rsidRPr="00A6677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0,</w:t>
            </w:r>
            <w:r w:rsidR="00B2193B" w:rsidRPr="00A6677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3</w:t>
            </w:r>
            <w:r w:rsidRPr="00A6677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6"/>
                <w:szCs w:val="26"/>
                <w:lang w:val="es-ES_tradnl" w:eastAsia="es-ES"/>
              </w:rPr>
              <w:t>%</w:t>
            </w:r>
          </w:p>
          <w:p w:rsidR="00175178" w:rsidRPr="007E609C" w:rsidRDefault="005346DB" w:rsidP="00BE6089">
            <w:pPr>
              <w:overflowPunct w:val="0"/>
              <w:autoSpaceDE w:val="0"/>
              <w:autoSpaceDN w:val="0"/>
              <w:adjustRightInd w:val="0"/>
              <w:spacing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</w:pPr>
            <w:r w:rsidRPr="00A6677B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si valor no superior a 150.000 €</w:t>
            </w:r>
          </w:p>
        </w:tc>
      </w:tr>
      <w:tr w:rsidR="009F60BC" w:rsidRPr="004D617F" w:rsidTr="009F60BC">
        <w:trPr>
          <w:trHeight w:val="301"/>
        </w:trPr>
        <w:tc>
          <w:tcPr>
            <w:tcW w:w="39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F60BC" w:rsidRPr="00A57114" w:rsidRDefault="009F60BC" w:rsidP="00076F0B">
            <w:pPr>
              <w:overflowPunct w:val="0"/>
              <w:autoSpaceDE w:val="0"/>
              <w:autoSpaceDN w:val="0"/>
              <w:adjustRightInd w:val="0"/>
              <w:spacing w:before="60"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</w:pPr>
            <w:r w:rsidRPr="00A57114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>Vivienda por profesionales</w:t>
            </w:r>
          </w:p>
          <w:p w:rsidR="009F60BC" w:rsidRPr="00A57114" w:rsidRDefault="009F60BC" w:rsidP="00900A84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</w:pPr>
            <w:r w:rsidRPr="00A57114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para transmisión en 5 años sujeta a TPO</w:t>
            </w:r>
          </w:p>
          <w:p w:rsidR="009F60BC" w:rsidRPr="00FF11D2" w:rsidRDefault="005A7476" w:rsidP="00DC6ADF">
            <w:pPr>
              <w:overflowPunct w:val="0"/>
              <w:autoSpaceDE w:val="0"/>
              <w:autoSpaceDN w:val="0"/>
              <w:adjustRightInd w:val="0"/>
              <w:spacing w:after="6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20"/>
                <w:szCs w:val="20"/>
                <w:lang w:val="es-ES_tradnl" w:eastAsia="es-ES"/>
              </w:rPr>
            </w:pPr>
            <w:hyperlink r:id="rId15" w:anchor="a44" w:history="1">
              <w:r w:rsidR="00DC6ADF">
                <w:rPr>
                  <w:rStyle w:val="Hipervnculo"/>
                  <w:rFonts w:ascii="CG Times (W1)" w:eastAsia="Times New Roman" w:hAnsi="CG Times (W1)" w:cs="Times New Roman"/>
                  <w:spacing w:val="6"/>
                  <w:sz w:val="20"/>
                  <w:szCs w:val="20"/>
                  <w:lang w:val="es-ES_tradnl" w:eastAsia="es-ES"/>
                </w:rPr>
                <w:t xml:space="preserve">Desde 2023 se hace sólo referencia a los grupos IAE pero no a los </w:t>
              </w:r>
              <w:r w:rsidR="009F60BC" w:rsidRPr="00A34675">
                <w:rPr>
                  <w:rStyle w:val="Hipervnculo"/>
                  <w:rFonts w:ascii="CG Times (W1)" w:eastAsia="Times New Roman" w:hAnsi="CG Times (W1)" w:cs="Times New Roman"/>
                  <w:spacing w:val="6"/>
                  <w:sz w:val="20"/>
                  <w:szCs w:val="20"/>
                  <w:lang w:val="es-ES_tradnl" w:eastAsia="es-ES"/>
                </w:rPr>
                <w:t>epígrafes CNAE</w:t>
              </w:r>
            </w:hyperlink>
          </w:p>
        </w:tc>
        <w:tc>
          <w:tcPr>
            <w:tcW w:w="4284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F60BC" w:rsidRPr="00F72BB2" w:rsidRDefault="009F60BC" w:rsidP="00471C6D">
            <w:pPr>
              <w:overflowPunct w:val="0"/>
              <w:autoSpaceDE w:val="0"/>
              <w:autoSpaceDN w:val="0"/>
              <w:adjustRightInd w:val="0"/>
              <w:spacing w:before="60"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eastAsia="es-ES"/>
              </w:rPr>
            </w:pP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Tipo reducido del </w:t>
            </w:r>
            <w:r w:rsidRPr="00FB3104">
              <w:rPr>
                <w:rFonts w:ascii="CG Times (W1)" w:eastAsia="Times New Roman" w:hAnsi="CG Times (W1)" w:cs="Times New Roman"/>
                <w:b/>
                <w:spacing w:val="6"/>
                <w:sz w:val="24"/>
                <w:szCs w:val="24"/>
                <w:lang w:val="es-ES_tradnl" w:eastAsia="es-ES"/>
              </w:rPr>
              <w:t>2% en ITPO</w:t>
            </w: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: </w:t>
            </w:r>
            <w:r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eastAsia="es-ES"/>
              </w:rPr>
              <w:t>declaración</w:t>
            </w:r>
            <w:r w:rsidRPr="00F72BB2"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eastAsia="es-ES"/>
              </w:rPr>
              <w:t xml:space="preserve"> en escritura intención</w:t>
            </w:r>
            <w:r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eastAsia="es-ES"/>
              </w:rPr>
              <w:t xml:space="preserve"> incorporar a activo circulante</w:t>
            </w:r>
          </w:p>
        </w:tc>
      </w:tr>
      <w:tr w:rsidR="009F60BC" w:rsidRPr="004D617F" w:rsidTr="009F60BC">
        <w:trPr>
          <w:trHeight w:val="300"/>
        </w:trPr>
        <w:tc>
          <w:tcPr>
            <w:tcW w:w="39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F60BC" w:rsidRPr="00A57114" w:rsidRDefault="009F60BC" w:rsidP="00076F0B">
            <w:pPr>
              <w:overflowPunct w:val="0"/>
              <w:autoSpaceDE w:val="0"/>
              <w:autoSpaceDN w:val="0"/>
              <w:adjustRightInd w:val="0"/>
              <w:spacing w:before="60"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</w:pPr>
          </w:p>
        </w:tc>
        <w:tc>
          <w:tcPr>
            <w:tcW w:w="4284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F60BC" w:rsidRPr="002B7206" w:rsidRDefault="002B7206" w:rsidP="002B7206">
            <w:pPr>
              <w:overflowPunct w:val="0"/>
              <w:autoSpaceDE w:val="0"/>
              <w:autoSpaceDN w:val="0"/>
              <w:adjustRightInd w:val="0"/>
              <w:spacing w:before="20" w:after="6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18"/>
                <w:szCs w:val="18"/>
                <w:lang w:val="es-ES_tradnl" w:eastAsia="es-ES"/>
              </w:rPr>
            </w:pPr>
            <w:r w:rsidRPr="002B7206">
              <w:rPr>
                <w:rFonts w:ascii="CG Times (W1)" w:eastAsia="Times New Roman" w:hAnsi="CG Times (W1)" w:cs="Times New Roman"/>
                <w:color w:val="000000" w:themeColor="text1"/>
                <w:spacing w:val="6"/>
                <w:sz w:val="18"/>
                <w:szCs w:val="18"/>
                <w:lang w:val="es-ES_tradnl" w:eastAsia="es-ES"/>
              </w:rPr>
              <w:t>(la Ley 1/2022 específica desde 2023 que la transmisión posterior ha de ser “mediante compraventa formalizada en escritura pública”)</w:t>
            </w:r>
          </w:p>
        </w:tc>
      </w:tr>
      <w:tr w:rsidR="00D429A2" w:rsidRPr="004D617F" w:rsidTr="00F32DE9">
        <w:trPr>
          <w:trHeight w:val="363"/>
        </w:trPr>
        <w:tc>
          <w:tcPr>
            <w:tcW w:w="39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29A2" w:rsidRPr="00D429A2" w:rsidRDefault="00D429A2" w:rsidP="00900A84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</w:pPr>
            <w:r w:rsidRPr="00D429A2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lang w:val="es-ES_tradnl" w:eastAsia="es-ES"/>
              </w:rPr>
              <w:t>Sociedades de Garantía Recíproca</w:t>
            </w:r>
          </w:p>
        </w:tc>
        <w:tc>
          <w:tcPr>
            <w:tcW w:w="42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29A2" w:rsidRDefault="006C1F8E" w:rsidP="00742022">
            <w:pPr>
              <w:overflowPunct w:val="0"/>
              <w:autoSpaceDE w:val="0"/>
              <w:autoSpaceDN w:val="0"/>
              <w:adjustRightInd w:val="0"/>
              <w:spacing w:before="60" w:after="6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Tipo reducido del </w:t>
            </w:r>
            <w:r w:rsidRPr="00FB3104">
              <w:rPr>
                <w:rFonts w:ascii="CG Times (W1)" w:eastAsia="Times New Roman" w:hAnsi="CG Times (W1)" w:cs="Times New Roman"/>
                <w:b/>
                <w:spacing w:val="6"/>
                <w:sz w:val="24"/>
                <w:szCs w:val="24"/>
                <w:lang w:val="es-ES_tradnl" w:eastAsia="es-ES"/>
              </w:rPr>
              <w:t>2% en ITPO</w:t>
            </w:r>
            <w:r w:rsidRPr="00F920EB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:</w:t>
            </w:r>
            <w:r w:rsidR="00F920EB" w:rsidRPr="00F920EB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 </w:t>
            </w:r>
            <w:r w:rsidR="009C47FF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daciones en pago, adjudicaciones</w:t>
            </w:r>
            <w:r w:rsidR="00F920EB" w:rsidRPr="009C47FF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 judicial</w:t>
            </w:r>
            <w:r w:rsidR="009C47FF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es</w:t>
            </w:r>
            <w:r w:rsidR="00F920EB" w:rsidRPr="009C47FF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 o notarial</w:t>
            </w:r>
            <w:r w:rsidR="009C47FF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es</w:t>
            </w:r>
            <w:r w:rsidR="00F920EB" w:rsidRPr="009C47FF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, </w:t>
            </w:r>
            <w:r w:rsidR="009C47FF" w:rsidRPr="009C47FF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adquisiciones por PYMES con tal garantía</w:t>
            </w:r>
          </w:p>
        </w:tc>
      </w:tr>
      <w:tr w:rsidR="00022924" w:rsidRPr="004D617F" w:rsidTr="000049EC">
        <w:trPr>
          <w:trHeight w:val="363"/>
        </w:trPr>
        <w:tc>
          <w:tcPr>
            <w:tcW w:w="39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22924" w:rsidRPr="00735FD7" w:rsidRDefault="00022924" w:rsidP="006C7182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</w:pPr>
            <w:r w:rsidRPr="00735FD7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Opci</w:t>
            </w:r>
            <w:r w:rsidR="00735FD7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 xml:space="preserve">ón de compra derivada de dación de vivienda habitual en pago de </w:t>
            </w:r>
            <w:r w:rsidRPr="00735FD7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0"/>
                <w:szCs w:val="20"/>
                <w:lang w:val="es-ES_tradnl" w:eastAsia="es-ES"/>
              </w:rPr>
              <w:t>préstamo hipotecario</w:t>
            </w:r>
          </w:p>
        </w:tc>
        <w:tc>
          <w:tcPr>
            <w:tcW w:w="42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920EB" w:rsidRDefault="004F4023" w:rsidP="0073253A">
            <w:pPr>
              <w:overflowPunct w:val="0"/>
              <w:autoSpaceDE w:val="0"/>
              <w:autoSpaceDN w:val="0"/>
              <w:adjustRightInd w:val="0"/>
              <w:spacing w:before="60" w:after="2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spacing w:val="6"/>
                <w:lang w:val="es-ES_tradnl" w:eastAsia="es-ES"/>
              </w:rPr>
            </w:pPr>
            <w:r w:rsidRPr="00451623">
              <w:rPr>
                <w:rFonts w:ascii="CG Times (W1)" w:eastAsia="Times New Roman" w:hAnsi="CG Times (W1)" w:cs="Times New Roman"/>
                <w:spacing w:val="6"/>
                <w:lang w:val="es-ES_tradnl" w:eastAsia="es-ES"/>
              </w:rPr>
              <w:t xml:space="preserve">Tanto la constitución de la opción como su ejercicio tienen una </w:t>
            </w:r>
            <w:r w:rsidRPr="00F920EB">
              <w:rPr>
                <w:rFonts w:ascii="CG Times (W1)" w:eastAsia="Times New Roman" w:hAnsi="CG Times (W1)" w:cs="Times New Roman"/>
                <w:spacing w:val="6"/>
                <w:lang w:val="es-ES_tradnl" w:eastAsia="es-ES"/>
              </w:rPr>
              <w:t>bonificación del</w:t>
            </w:r>
            <w:r w:rsidRPr="00FB3104">
              <w:rPr>
                <w:rFonts w:ascii="CG Times (W1)" w:eastAsia="Times New Roman" w:hAnsi="CG Times (W1)" w:cs="Times New Roman"/>
                <w:b/>
                <w:spacing w:val="6"/>
                <w:lang w:val="es-ES_tradnl" w:eastAsia="es-ES"/>
              </w:rPr>
              <w:t xml:space="preserve"> </w:t>
            </w:r>
          </w:p>
          <w:p w:rsidR="00022924" w:rsidRPr="00451623" w:rsidRDefault="004F4023" w:rsidP="0073253A">
            <w:pPr>
              <w:overflowPunct w:val="0"/>
              <w:autoSpaceDE w:val="0"/>
              <w:autoSpaceDN w:val="0"/>
              <w:adjustRightInd w:val="0"/>
              <w:spacing w:before="20" w:after="6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lang w:val="es-ES_tradnl" w:eastAsia="es-ES"/>
              </w:rPr>
            </w:pPr>
            <w:r w:rsidRPr="00FB3104">
              <w:rPr>
                <w:rFonts w:ascii="CG Times (W1)" w:eastAsia="Times New Roman" w:hAnsi="CG Times (W1)" w:cs="Times New Roman"/>
                <w:b/>
                <w:spacing w:val="6"/>
                <w:lang w:val="es-ES_tradnl" w:eastAsia="es-ES"/>
              </w:rPr>
              <w:t>100% en la cuota de ITPO</w:t>
            </w:r>
          </w:p>
        </w:tc>
      </w:tr>
      <w:tr w:rsidR="00061EB7" w:rsidRPr="004D617F" w:rsidTr="00F32DE9">
        <w:trPr>
          <w:trHeight w:val="363"/>
        </w:trPr>
        <w:tc>
          <w:tcPr>
            <w:tcW w:w="39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1EB7" w:rsidRPr="00C96509" w:rsidRDefault="00061EB7" w:rsidP="00076F0B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b/>
                <w:color w:val="FF0000"/>
                <w:spacing w:val="6"/>
                <w:sz w:val="24"/>
                <w:szCs w:val="24"/>
                <w:lang w:val="es-ES_tradnl" w:eastAsia="es-ES"/>
              </w:rPr>
            </w:pPr>
            <w:r w:rsidRPr="00EB6A0B">
              <w:rPr>
                <w:rFonts w:ascii="CG Times (W1)" w:eastAsia="Times New Roman" w:hAnsi="CG Times (W1)" w:cs="Times New Roman"/>
                <w:b/>
                <w:color w:val="000000" w:themeColor="text1"/>
                <w:spacing w:val="6"/>
                <w:sz w:val="24"/>
                <w:szCs w:val="24"/>
                <w:lang w:val="es-ES_tradnl" w:eastAsia="es-ES"/>
              </w:rPr>
              <w:t>Renuncia exención IVA</w:t>
            </w:r>
          </w:p>
        </w:tc>
        <w:tc>
          <w:tcPr>
            <w:tcW w:w="428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F06E1" w:rsidRDefault="006F06E1" w:rsidP="0073253A">
            <w:pPr>
              <w:overflowPunct w:val="0"/>
              <w:autoSpaceDE w:val="0"/>
              <w:autoSpaceDN w:val="0"/>
              <w:adjustRightInd w:val="0"/>
              <w:spacing w:before="60" w:after="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</w:pP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 xml:space="preserve">Tipo incrementado del 2% en </w:t>
            </w:r>
            <w:r w:rsidR="004F4023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I</w:t>
            </w:r>
            <w:r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AJD</w:t>
            </w:r>
          </w:p>
          <w:p w:rsidR="00061EB7" w:rsidRPr="006F06E1" w:rsidRDefault="006F06E1" w:rsidP="0073253A">
            <w:pPr>
              <w:overflowPunct w:val="0"/>
              <w:autoSpaceDE w:val="0"/>
              <w:autoSpaceDN w:val="0"/>
              <w:adjustRightInd w:val="0"/>
              <w:spacing w:after="60" w:line="180" w:lineRule="exact"/>
              <w:jc w:val="center"/>
              <w:textAlignment w:val="baseline"/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</w:pPr>
            <w:r w:rsidRPr="006F06E1">
              <w:rPr>
                <w:rFonts w:ascii="CG Times (W1)" w:eastAsia="Times New Roman" w:hAnsi="CG Times (W1)" w:cs="Times New Roman"/>
                <w:spacing w:val="6"/>
                <w:sz w:val="20"/>
                <w:szCs w:val="20"/>
                <w:lang w:val="es-ES_tradnl" w:eastAsia="es-ES"/>
              </w:rPr>
              <w:t>suprimido desde 11/04/2019</w:t>
            </w:r>
          </w:p>
        </w:tc>
      </w:tr>
    </w:tbl>
    <w:p w:rsidR="00BE534A" w:rsidRPr="00734CED" w:rsidRDefault="00BE534A" w:rsidP="00734CED">
      <w:pPr>
        <w:tabs>
          <w:tab w:val="left" w:pos="3343"/>
        </w:tabs>
      </w:pPr>
    </w:p>
    <w:sectPr w:rsidR="00BE534A" w:rsidRPr="00734CED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EB" w:rsidRDefault="002013EB" w:rsidP="004D617F">
      <w:pPr>
        <w:spacing w:after="0" w:line="240" w:lineRule="auto"/>
      </w:pPr>
      <w:r>
        <w:separator/>
      </w:r>
    </w:p>
  </w:endnote>
  <w:endnote w:type="continuationSeparator" w:id="0">
    <w:p w:rsidR="002013EB" w:rsidRDefault="002013EB" w:rsidP="004D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EB" w:rsidRPr="004D617F" w:rsidRDefault="002013EB" w:rsidP="004D617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767171"/>
        <w:sz w:val="24"/>
        <w:szCs w:val="24"/>
        <w:lang w:val="es-ES_tradnl" w:eastAsia="es-ES"/>
      </w:rPr>
    </w:pPr>
    <w:r>
      <w:rPr>
        <w:rFonts w:ascii="Times New Roman" w:eastAsia="Times New Roman" w:hAnsi="Times New Roman" w:cs="Times New Roman"/>
        <w:color w:val="767171"/>
        <w:sz w:val="24"/>
        <w:szCs w:val="24"/>
        <w:lang w:val="es-ES_tradnl" w:eastAsia="es-ES"/>
      </w:rPr>
      <w:t>Vicente Martorell, notario</w:t>
    </w:r>
  </w:p>
  <w:p w:rsidR="002013EB" w:rsidRPr="004D617F" w:rsidRDefault="002013EB" w:rsidP="004D617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767171"/>
        <w:sz w:val="24"/>
        <w:szCs w:val="24"/>
        <w:lang w:val="es-ES_tradnl" w:eastAsia="es-ES"/>
      </w:rPr>
    </w:pPr>
    <w:r>
      <w:rPr>
        <w:rFonts w:ascii="Times New Roman" w:eastAsia="Times New Roman" w:hAnsi="Times New Roman" w:cs="Times New Roman"/>
        <w:color w:val="767171"/>
        <w:sz w:val="24"/>
        <w:szCs w:val="24"/>
        <w:lang w:val="es-ES_tradnl" w:eastAsia="es-ES"/>
      </w:rPr>
      <w:t>17 de enero</w:t>
    </w:r>
    <w:r w:rsidRPr="004D617F">
      <w:rPr>
        <w:rFonts w:ascii="Times New Roman" w:eastAsia="Times New Roman" w:hAnsi="Times New Roman" w:cs="Times New Roman"/>
        <w:color w:val="767171"/>
        <w:sz w:val="24"/>
        <w:szCs w:val="24"/>
        <w:lang w:val="es-ES_tradnl" w:eastAsia="es-ES"/>
      </w:rPr>
      <w:t xml:space="preserve"> de 202</w:t>
    </w:r>
    <w:r>
      <w:rPr>
        <w:rFonts w:ascii="Times New Roman" w:eastAsia="Times New Roman" w:hAnsi="Times New Roman" w:cs="Times New Roman"/>
        <w:color w:val="767171"/>
        <w:sz w:val="24"/>
        <w:szCs w:val="24"/>
        <w:lang w:val="es-ES_tradnl" w:eastAsia="es-ES"/>
      </w:rPr>
      <w:t>3, actualizado</w:t>
    </w:r>
    <w:r w:rsidRPr="004D617F">
      <w:rPr>
        <w:rFonts w:ascii="Times New Roman" w:eastAsia="Times New Roman" w:hAnsi="Times New Roman" w:cs="Times New Roman"/>
        <w:color w:val="767171"/>
        <w:sz w:val="24"/>
        <w:szCs w:val="24"/>
        <w:lang w:val="es-ES_tradnl" w:eastAsia="es-ES"/>
      </w:rPr>
      <w:t xml:space="preserve"> en </w:t>
    </w:r>
    <w:hyperlink r:id="rId1" w:history="1">
      <w:r w:rsidRPr="004D617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-ES_tradnl" w:eastAsia="es-ES"/>
        </w:rPr>
        <w:t>www.oviedonotaria.com</w:t>
      </w:r>
    </w:hyperlink>
  </w:p>
  <w:p w:rsidR="002013EB" w:rsidRDefault="00201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EB" w:rsidRDefault="002013EB" w:rsidP="004D617F">
      <w:pPr>
        <w:spacing w:after="0" w:line="240" w:lineRule="auto"/>
      </w:pPr>
      <w:r>
        <w:separator/>
      </w:r>
    </w:p>
  </w:footnote>
  <w:footnote w:type="continuationSeparator" w:id="0">
    <w:p w:rsidR="002013EB" w:rsidRDefault="002013EB" w:rsidP="004D6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7F"/>
    <w:rsid w:val="000049EC"/>
    <w:rsid w:val="00007059"/>
    <w:rsid w:val="00011E18"/>
    <w:rsid w:val="00022282"/>
    <w:rsid w:val="00022924"/>
    <w:rsid w:val="00032E33"/>
    <w:rsid w:val="00061EB7"/>
    <w:rsid w:val="00075A1E"/>
    <w:rsid w:val="00076F0B"/>
    <w:rsid w:val="00083674"/>
    <w:rsid w:val="00084640"/>
    <w:rsid w:val="00087C78"/>
    <w:rsid w:val="00093D2F"/>
    <w:rsid w:val="000A1C86"/>
    <w:rsid w:val="000A5F02"/>
    <w:rsid w:val="000A7880"/>
    <w:rsid w:val="000B3C97"/>
    <w:rsid w:val="000C1C19"/>
    <w:rsid w:val="000E32F6"/>
    <w:rsid w:val="000F288F"/>
    <w:rsid w:val="000F689B"/>
    <w:rsid w:val="00101CBF"/>
    <w:rsid w:val="00102624"/>
    <w:rsid w:val="00106A24"/>
    <w:rsid w:val="00116384"/>
    <w:rsid w:val="001211AA"/>
    <w:rsid w:val="00122393"/>
    <w:rsid w:val="001257E8"/>
    <w:rsid w:val="001372F9"/>
    <w:rsid w:val="00142C7F"/>
    <w:rsid w:val="001631B5"/>
    <w:rsid w:val="0016789F"/>
    <w:rsid w:val="00175178"/>
    <w:rsid w:val="00176ECE"/>
    <w:rsid w:val="00180218"/>
    <w:rsid w:val="00191B03"/>
    <w:rsid w:val="001949CB"/>
    <w:rsid w:val="001A228C"/>
    <w:rsid w:val="001D7616"/>
    <w:rsid w:val="001E3211"/>
    <w:rsid w:val="001F49A7"/>
    <w:rsid w:val="001F6F03"/>
    <w:rsid w:val="002013EB"/>
    <w:rsid w:val="0022076E"/>
    <w:rsid w:val="00222666"/>
    <w:rsid w:val="00233A86"/>
    <w:rsid w:val="00241A84"/>
    <w:rsid w:val="00254B96"/>
    <w:rsid w:val="002557DB"/>
    <w:rsid w:val="00262925"/>
    <w:rsid w:val="002637A3"/>
    <w:rsid w:val="002B150D"/>
    <w:rsid w:val="002B7206"/>
    <w:rsid w:val="002C737F"/>
    <w:rsid w:val="002D2A5C"/>
    <w:rsid w:val="002D3216"/>
    <w:rsid w:val="002D3C3C"/>
    <w:rsid w:val="002D5BD4"/>
    <w:rsid w:val="002D6C00"/>
    <w:rsid w:val="003076F1"/>
    <w:rsid w:val="003120A8"/>
    <w:rsid w:val="003216BB"/>
    <w:rsid w:val="00324FC5"/>
    <w:rsid w:val="00325836"/>
    <w:rsid w:val="00337942"/>
    <w:rsid w:val="003429D8"/>
    <w:rsid w:val="00345783"/>
    <w:rsid w:val="00354963"/>
    <w:rsid w:val="0035728D"/>
    <w:rsid w:val="003706E2"/>
    <w:rsid w:val="00381167"/>
    <w:rsid w:val="003827E6"/>
    <w:rsid w:val="003867DD"/>
    <w:rsid w:val="003A5102"/>
    <w:rsid w:val="003A6251"/>
    <w:rsid w:val="003B2507"/>
    <w:rsid w:val="003B2643"/>
    <w:rsid w:val="003C1FBE"/>
    <w:rsid w:val="003C7437"/>
    <w:rsid w:val="003D2B22"/>
    <w:rsid w:val="003D3642"/>
    <w:rsid w:val="003D49C6"/>
    <w:rsid w:val="003E5BD8"/>
    <w:rsid w:val="003F2691"/>
    <w:rsid w:val="003F71FD"/>
    <w:rsid w:val="00404425"/>
    <w:rsid w:val="004165D3"/>
    <w:rsid w:val="00423D3F"/>
    <w:rsid w:val="0042570A"/>
    <w:rsid w:val="00451623"/>
    <w:rsid w:val="00454B51"/>
    <w:rsid w:val="0046321C"/>
    <w:rsid w:val="00464916"/>
    <w:rsid w:val="00471C6D"/>
    <w:rsid w:val="0047567F"/>
    <w:rsid w:val="004C1184"/>
    <w:rsid w:val="004C3F78"/>
    <w:rsid w:val="004C4EA9"/>
    <w:rsid w:val="004D617F"/>
    <w:rsid w:val="004D6B48"/>
    <w:rsid w:val="004E104F"/>
    <w:rsid w:val="004F4023"/>
    <w:rsid w:val="004F7393"/>
    <w:rsid w:val="005006A9"/>
    <w:rsid w:val="0050637B"/>
    <w:rsid w:val="005123F2"/>
    <w:rsid w:val="00516A6C"/>
    <w:rsid w:val="0052309C"/>
    <w:rsid w:val="005340EB"/>
    <w:rsid w:val="005346DB"/>
    <w:rsid w:val="00551AC8"/>
    <w:rsid w:val="00553EEF"/>
    <w:rsid w:val="00573E0B"/>
    <w:rsid w:val="005861AD"/>
    <w:rsid w:val="00587663"/>
    <w:rsid w:val="005A6F72"/>
    <w:rsid w:val="005A7476"/>
    <w:rsid w:val="005A7D6F"/>
    <w:rsid w:val="005D13D3"/>
    <w:rsid w:val="005D3876"/>
    <w:rsid w:val="005D4760"/>
    <w:rsid w:val="005E1613"/>
    <w:rsid w:val="005F60C6"/>
    <w:rsid w:val="006157CB"/>
    <w:rsid w:val="00627890"/>
    <w:rsid w:val="00632C38"/>
    <w:rsid w:val="00645573"/>
    <w:rsid w:val="00656374"/>
    <w:rsid w:val="00663218"/>
    <w:rsid w:val="00674C1B"/>
    <w:rsid w:val="006914B8"/>
    <w:rsid w:val="00693E1A"/>
    <w:rsid w:val="006C1F8E"/>
    <w:rsid w:val="006C6427"/>
    <w:rsid w:val="006C7182"/>
    <w:rsid w:val="006D01D1"/>
    <w:rsid w:val="006F06E1"/>
    <w:rsid w:val="0073253A"/>
    <w:rsid w:val="00734CED"/>
    <w:rsid w:val="00735FD7"/>
    <w:rsid w:val="00737D83"/>
    <w:rsid w:val="007406F4"/>
    <w:rsid w:val="00742022"/>
    <w:rsid w:val="00742C80"/>
    <w:rsid w:val="00771DC8"/>
    <w:rsid w:val="007875E7"/>
    <w:rsid w:val="007907B5"/>
    <w:rsid w:val="00794643"/>
    <w:rsid w:val="007971E6"/>
    <w:rsid w:val="007A446F"/>
    <w:rsid w:val="007A4561"/>
    <w:rsid w:val="007B24E8"/>
    <w:rsid w:val="007B7F98"/>
    <w:rsid w:val="007C286A"/>
    <w:rsid w:val="007D0085"/>
    <w:rsid w:val="007E46C6"/>
    <w:rsid w:val="007E609C"/>
    <w:rsid w:val="007F0FF3"/>
    <w:rsid w:val="007F4514"/>
    <w:rsid w:val="008040D7"/>
    <w:rsid w:val="00805E38"/>
    <w:rsid w:val="00807737"/>
    <w:rsid w:val="00815CE0"/>
    <w:rsid w:val="0082128A"/>
    <w:rsid w:val="00836C8B"/>
    <w:rsid w:val="0083773F"/>
    <w:rsid w:val="00864C20"/>
    <w:rsid w:val="008669C3"/>
    <w:rsid w:val="0088049E"/>
    <w:rsid w:val="008806E0"/>
    <w:rsid w:val="0088350C"/>
    <w:rsid w:val="00895F3F"/>
    <w:rsid w:val="008A19D5"/>
    <w:rsid w:val="008A30E6"/>
    <w:rsid w:val="008C1D27"/>
    <w:rsid w:val="008C2CB0"/>
    <w:rsid w:val="008D2278"/>
    <w:rsid w:val="008E3211"/>
    <w:rsid w:val="008E57CB"/>
    <w:rsid w:val="00900A84"/>
    <w:rsid w:val="00901F55"/>
    <w:rsid w:val="009052C1"/>
    <w:rsid w:val="00917D80"/>
    <w:rsid w:val="00921580"/>
    <w:rsid w:val="00934ADD"/>
    <w:rsid w:val="00952473"/>
    <w:rsid w:val="00954564"/>
    <w:rsid w:val="00962DB4"/>
    <w:rsid w:val="00964D0F"/>
    <w:rsid w:val="0096712E"/>
    <w:rsid w:val="00982349"/>
    <w:rsid w:val="00991E98"/>
    <w:rsid w:val="009975F5"/>
    <w:rsid w:val="009A1D90"/>
    <w:rsid w:val="009A5B3C"/>
    <w:rsid w:val="009B44D5"/>
    <w:rsid w:val="009C47FF"/>
    <w:rsid w:val="009C562F"/>
    <w:rsid w:val="009D6756"/>
    <w:rsid w:val="009F60BC"/>
    <w:rsid w:val="00A0254F"/>
    <w:rsid w:val="00A03010"/>
    <w:rsid w:val="00A06E91"/>
    <w:rsid w:val="00A13905"/>
    <w:rsid w:val="00A242FD"/>
    <w:rsid w:val="00A320EA"/>
    <w:rsid w:val="00A32DA9"/>
    <w:rsid w:val="00A34675"/>
    <w:rsid w:val="00A35FD1"/>
    <w:rsid w:val="00A41C8F"/>
    <w:rsid w:val="00A52C67"/>
    <w:rsid w:val="00A5465B"/>
    <w:rsid w:val="00A56D92"/>
    <w:rsid w:val="00A57114"/>
    <w:rsid w:val="00A63DDA"/>
    <w:rsid w:val="00A65B51"/>
    <w:rsid w:val="00A6677B"/>
    <w:rsid w:val="00A67335"/>
    <w:rsid w:val="00A7219C"/>
    <w:rsid w:val="00A74DBC"/>
    <w:rsid w:val="00A855C5"/>
    <w:rsid w:val="00A95B6F"/>
    <w:rsid w:val="00A965AA"/>
    <w:rsid w:val="00AF4CFB"/>
    <w:rsid w:val="00B1128B"/>
    <w:rsid w:val="00B2193B"/>
    <w:rsid w:val="00B227EB"/>
    <w:rsid w:val="00B24551"/>
    <w:rsid w:val="00B44A5A"/>
    <w:rsid w:val="00B63B1D"/>
    <w:rsid w:val="00B6589F"/>
    <w:rsid w:val="00B67D7B"/>
    <w:rsid w:val="00B71AC7"/>
    <w:rsid w:val="00B73895"/>
    <w:rsid w:val="00B86633"/>
    <w:rsid w:val="00B95557"/>
    <w:rsid w:val="00BA5B31"/>
    <w:rsid w:val="00BA5FF6"/>
    <w:rsid w:val="00BB1D89"/>
    <w:rsid w:val="00BB2AEC"/>
    <w:rsid w:val="00BB4EEB"/>
    <w:rsid w:val="00BC060C"/>
    <w:rsid w:val="00BD233B"/>
    <w:rsid w:val="00BE30E4"/>
    <w:rsid w:val="00BE534A"/>
    <w:rsid w:val="00BE6089"/>
    <w:rsid w:val="00C150F8"/>
    <w:rsid w:val="00C151B1"/>
    <w:rsid w:val="00C20C76"/>
    <w:rsid w:val="00C210BC"/>
    <w:rsid w:val="00C37A23"/>
    <w:rsid w:val="00C43F05"/>
    <w:rsid w:val="00C51B44"/>
    <w:rsid w:val="00C75512"/>
    <w:rsid w:val="00C85AF9"/>
    <w:rsid w:val="00C90A29"/>
    <w:rsid w:val="00C93C51"/>
    <w:rsid w:val="00C948E5"/>
    <w:rsid w:val="00C96509"/>
    <w:rsid w:val="00CA7786"/>
    <w:rsid w:val="00CB648F"/>
    <w:rsid w:val="00CC03AA"/>
    <w:rsid w:val="00CD3DD3"/>
    <w:rsid w:val="00CE4A0E"/>
    <w:rsid w:val="00CE70F8"/>
    <w:rsid w:val="00CF0B67"/>
    <w:rsid w:val="00CF1001"/>
    <w:rsid w:val="00D429A2"/>
    <w:rsid w:val="00D57E87"/>
    <w:rsid w:val="00D639C2"/>
    <w:rsid w:val="00D66FD1"/>
    <w:rsid w:val="00D75376"/>
    <w:rsid w:val="00D75B2A"/>
    <w:rsid w:val="00D76CBE"/>
    <w:rsid w:val="00DA6205"/>
    <w:rsid w:val="00DC641F"/>
    <w:rsid w:val="00DC6ADF"/>
    <w:rsid w:val="00DD1E4E"/>
    <w:rsid w:val="00E117B2"/>
    <w:rsid w:val="00E2317A"/>
    <w:rsid w:val="00E259AE"/>
    <w:rsid w:val="00E3142D"/>
    <w:rsid w:val="00E327B6"/>
    <w:rsid w:val="00E4003A"/>
    <w:rsid w:val="00E567F5"/>
    <w:rsid w:val="00E60D7C"/>
    <w:rsid w:val="00E74A42"/>
    <w:rsid w:val="00E84343"/>
    <w:rsid w:val="00E96AFE"/>
    <w:rsid w:val="00EB33EE"/>
    <w:rsid w:val="00EB6A0B"/>
    <w:rsid w:val="00EC4393"/>
    <w:rsid w:val="00ED36EC"/>
    <w:rsid w:val="00EE2895"/>
    <w:rsid w:val="00EE3F7F"/>
    <w:rsid w:val="00EF2178"/>
    <w:rsid w:val="00EF4D33"/>
    <w:rsid w:val="00F12185"/>
    <w:rsid w:val="00F15096"/>
    <w:rsid w:val="00F22565"/>
    <w:rsid w:val="00F30574"/>
    <w:rsid w:val="00F32DE9"/>
    <w:rsid w:val="00F34C42"/>
    <w:rsid w:val="00F411A8"/>
    <w:rsid w:val="00F43572"/>
    <w:rsid w:val="00F522D5"/>
    <w:rsid w:val="00F543B1"/>
    <w:rsid w:val="00F72BB2"/>
    <w:rsid w:val="00F920EB"/>
    <w:rsid w:val="00FA0380"/>
    <w:rsid w:val="00FB1DBE"/>
    <w:rsid w:val="00FB3104"/>
    <w:rsid w:val="00FC1E9D"/>
    <w:rsid w:val="00FF101F"/>
    <w:rsid w:val="00FF11D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282A-6A9A-4889-BAA0-51BD5EA8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17F"/>
  </w:style>
  <w:style w:type="paragraph" w:styleId="Piedepgina">
    <w:name w:val="footer"/>
    <w:basedOn w:val="Normal"/>
    <w:link w:val="PiedepginaCar"/>
    <w:uiPriority w:val="99"/>
    <w:unhideWhenUsed/>
    <w:rsid w:val="004D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17F"/>
  </w:style>
  <w:style w:type="character" w:styleId="Hipervnculo">
    <w:name w:val="Hyperlink"/>
    <w:basedOn w:val="Fuentedeprrafopredeter"/>
    <w:uiPriority w:val="99"/>
    <w:unhideWhenUsed/>
    <w:rsid w:val="005340E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6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ntadeandalucia.es/eboja/2021/537/BOJA21-537-00005-7228-01_00191116.pdf" TargetMode="External"/><Relationship Id="rId13" Type="http://schemas.openxmlformats.org/officeDocument/2006/relationships/hyperlink" Target="https://www.juntadeandalucia.es/eboja/2021/206/BOJA21-206-00045-16856-01_00200593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cias.juridicas.com/base_datos/CCAA/710383-l-5-2021-de-20-oct-ca-andalucia-de-tributos-cedidos-de-la-comunidad-autonoma.html" TargetMode="External"/><Relationship Id="rId12" Type="http://schemas.openxmlformats.org/officeDocument/2006/relationships/hyperlink" Target="https://www.juntadeandalucia.es/eboja/2021/206/BOJA21-206-00045-16856-01_0020059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untadeandalucia.es/eboja/2021/206/BOJA21-206-00045-16856-01_0020059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ticias.juridicas.com/base_datos/CCAA/710383-l-5-2021-de-20-oct-ca-andalucia-de-tributos-cedidos-de-la-comunidad-autonoma.html" TargetMode="External"/><Relationship Id="rId10" Type="http://schemas.openxmlformats.org/officeDocument/2006/relationships/hyperlink" Target="https://noticias.juridicas.com/base_datos/Admin/l40-20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ntadeandalucia.es/eboja/2021/206/BOJA21-206-00045-16856-01_00200593.pdf" TargetMode="External"/><Relationship Id="rId14" Type="http://schemas.openxmlformats.org/officeDocument/2006/relationships/hyperlink" Target="https://www.juntadeandalucia.es/boja/2023/1/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viedonotar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notario\DOCUMENTS\NOTIN\PLANTILLAS\NoNotar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C8AE-E212-4CF4-BF38-9CE4E2DD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NoNotarial.dotm</Template>
  <TotalTime>662</TotalTime>
  <Pages>1</Pages>
  <Words>593</Words>
  <Characters>3054</Characters>
  <Application>Microsoft Office Word</Application>
  <DocSecurity>0</DocSecurity>
  <Lines>160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notario</dc:creator>
  <cp:keywords/>
  <dc:description/>
  <cp:lastModifiedBy>notario</cp:lastModifiedBy>
  <cp:revision>275</cp:revision>
  <cp:lastPrinted>2022-04-13T15:18:00Z</cp:lastPrinted>
  <dcterms:created xsi:type="dcterms:W3CDTF">2020-04-20T08:38:00Z</dcterms:created>
  <dcterms:modified xsi:type="dcterms:W3CDTF">2023-01-17T17:26:00Z</dcterms:modified>
</cp:coreProperties>
</file>